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bidi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b/>
          <w:bCs/>
          <w:sz w:val="60"/>
          <w:szCs w:val="6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60"/>
          <w:szCs w:val="60"/>
          <w:lang w:val="en-US" w:eastAsia="zh-CN"/>
        </w:rPr>
        <w:t>“电科诚采”电子采购平台</w:t>
      </w:r>
    </w:p>
    <w:p>
      <w:pPr>
        <w:bidi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（供应商角色）</w:t>
      </w: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both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spacing w:line="360" w:lineRule="auto"/>
        <w:ind w:left="0" w:leftChars="0" w:firstLine="0" w:firstLineChars="0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上海汇招信息技术有限公司</w:t>
      </w:r>
    </w:p>
    <w:p>
      <w:pPr>
        <w:spacing w:line="360" w:lineRule="auto"/>
        <w:ind w:left="0" w:leftChars="0" w:firstLine="0" w:firstLineChars="0"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202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5</w:t>
      </w:r>
      <w:r>
        <w:rPr>
          <w:rFonts w:hint="eastAsia" w:ascii="黑体" w:hAnsi="黑体" w:eastAsia="黑体"/>
          <w:sz w:val="36"/>
          <w:szCs w:val="36"/>
        </w:rPr>
        <w:t xml:space="preserve"> 年 0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 xml:space="preserve">4 </w:t>
      </w:r>
      <w:r>
        <w:rPr>
          <w:rFonts w:hint="eastAsia" w:ascii="黑体" w:hAnsi="黑体" w:eastAsia="黑体"/>
          <w:sz w:val="36"/>
          <w:szCs w:val="36"/>
        </w:rPr>
        <w:t>月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br w:type="page"/>
      </w:r>
    </w:p>
    <w:p>
      <w:pPr>
        <w:spacing w:before="91" w:line="360" w:lineRule="auto"/>
        <w:ind w:left="130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3"/>
          <w:sz w:val="28"/>
          <w:szCs w:val="28"/>
        </w:rPr>
        <w:t>修订记录</w:t>
      </w:r>
    </w:p>
    <w:p>
      <w:pPr>
        <w:spacing w:line="360" w:lineRule="auto"/>
      </w:pPr>
    </w:p>
    <w:tbl>
      <w:tblPr>
        <w:tblStyle w:val="15"/>
        <w:tblW w:w="852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6"/>
        <w:gridCol w:w="1291"/>
        <w:gridCol w:w="1864"/>
        <w:gridCol w:w="1386"/>
        <w:gridCol w:w="308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906" w:type="dxa"/>
            <w:shd w:val="clear" w:color="auto" w:fill="E0E0E0"/>
            <w:vAlign w:val="center"/>
          </w:tcPr>
          <w:p>
            <w:pPr>
              <w:spacing w:before="138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291" w:type="dxa"/>
            <w:shd w:val="clear" w:color="auto" w:fill="E0E0E0"/>
            <w:vAlign w:val="center"/>
          </w:tcPr>
          <w:p>
            <w:pPr>
              <w:spacing w:before="139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版本号</w:t>
            </w:r>
          </w:p>
        </w:tc>
        <w:tc>
          <w:tcPr>
            <w:tcW w:w="1864" w:type="dxa"/>
            <w:shd w:val="clear" w:color="auto" w:fill="E0E0E0"/>
            <w:vAlign w:val="center"/>
          </w:tcPr>
          <w:p>
            <w:pPr>
              <w:spacing w:before="139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  <w:lang w:val="en-US" w:eastAsia="zh-CN"/>
              </w:rPr>
              <w:t>修订时间</w:t>
            </w:r>
          </w:p>
        </w:tc>
        <w:tc>
          <w:tcPr>
            <w:tcW w:w="1386" w:type="dxa"/>
            <w:shd w:val="clear" w:color="auto" w:fill="E0E0E0"/>
            <w:vAlign w:val="center"/>
          </w:tcPr>
          <w:p>
            <w:pPr>
              <w:spacing w:before="139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6"/>
                <w:sz w:val="24"/>
                <w:szCs w:val="24"/>
                <w:lang w:val="en-US" w:eastAsia="zh-CN"/>
              </w:rPr>
              <w:t>修订人员</w:t>
            </w:r>
          </w:p>
        </w:tc>
        <w:tc>
          <w:tcPr>
            <w:tcW w:w="3081" w:type="dxa"/>
            <w:shd w:val="clear" w:color="auto" w:fill="E0E0E0"/>
            <w:vAlign w:val="center"/>
          </w:tcPr>
          <w:p>
            <w:pPr>
              <w:spacing w:before="139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6"/>
                <w:sz w:val="24"/>
                <w:szCs w:val="24"/>
                <w:lang w:val="en-US" w:eastAsia="zh-CN"/>
              </w:rPr>
              <w:t>修订说明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>
            <w:pPr>
              <w:spacing w:before="177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91" w:type="dxa"/>
            <w:vAlign w:val="center"/>
          </w:tcPr>
          <w:p>
            <w:pPr>
              <w:spacing w:before="134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V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64" w:type="dxa"/>
            <w:vAlign w:val="center"/>
          </w:tcPr>
          <w:p>
            <w:pPr>
              <w:tabs>
                <w:tab w:val="center" w:pos="634"/>
              </w:tabs>
              <w:spacing w:before="177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-0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04</w:t>
            </w:r>
          </w:p>
        </w:tc>
        <w:tc>
          <w:tcPr>
            <w:tcW w:w="1386" w:type="dxa"/>
            <w:vAlign w:val="center"/>
          </w:tcPr>
          <w:p>
            <w:pPr>
              <w:spacing w:before="134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xxx</w:t>
            </w:r>
          </w:p>
        </w:tc>
        <w:tc>
          <w:tcPr>
            <w:tcW w:w="3081" w:type="dxa"/>
            <w:vAlign w:val="center"/>
          </w:tcPr>
          <w:p>
            <w:pPr>
              <w:spacing w:before="134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初稿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>
            <w:pPr>
              <w:spacing w:before="177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1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1864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1386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3081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>
            <w:pPr>
              <w:spacing w:before="177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1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1864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1386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3081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</w:tr>
    </w:tbl>
    <w:p>
      <w:pPr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default"/>
          <w:b/>
          <w:bCs/>
          <w:sz w:val="44"/>
          <w:szCs w:val="44"/>
          <w:lang w:val="en-US" w:eastAsia="zh-CN"/>
        </w:rPr>
        <w:br w:type="page"/>
      </w: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54021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_Toc29559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一、 登录页面</w:t>
          </w:r>
          <w:r>
            <w:tab/>
          </w:r>
          <w:r>
            <w:fldChar w:fldCharType="begin"/>
          </w:r>
          <w:r>
            <w:instrText xml:space="preserve"> PAGEREF _Toc29559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_Toc27129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1． 门户登录</w:t>
          </w:r>
          <w:r>
            <w:tab/>
          </w:r>
          <w:r>
            <w:fldChar w:fldCharType="begin"/>
          </w:r>
          <w:r>
            <w:instrText xml:space="preserve"> PAGEREF _Toc27129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_Toc8979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2． 直接登录</w:t>
          </w:r>
          <w:r>
            <w:tab/>
          </w:r>
          <w:r>
            <w:fldChar w:fldCharType="begin"/>
          </w:r>
          <w:r>
            <w:instrText xml:space="preserve"> PAGEREF _Toc8979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_Toc4045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二、 首页</w:t>
          </w:r>
          <w:r>
            <w:tab/>
          </w:r>
          <w:r>
            <w:fldChar w:fldCharType="begin"/>
          </w:r>
          <w:r>
            <w:instrText xml:space="preserve"> PAGEREF _Toc4045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_Toc30648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三、 采购执行</w:t>
          </w:r>
          <w:r>
            <w:tab/>
          </w:r>
          <w:r>
            <w:fldChar w:fldCharType="begin"/>
          </w:r>
          <w:r>
            <w:instrText xml:space="preserve"> PAGEREF _Toc30648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_Toc4895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1． 我的项目</w:t>
          </w:r>
          <w:r>
            <w:tab/>
          </w:r>
          <w:r>
            <w:fldChar w:fldCharType="begin"/>
          </w:r>
          <w:r>
            <w:instrText xml:space="preserve"> PAGEREF _Toc4895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_Toc28455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（1） 报名</w:t>
          </w:r>
          <w:r>
            <w:tab/>
          </w:r>
          <w:r>
            <w:fldChar w:fldCharType="begin"/>
          </w:r>
          <w:r>
            <w:instrText xml:space="preserve"> PAGEREF _Toc28455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_Toc6470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（2） 邀请回执</w:t>
          </w:r>
          <w:r>
            <w:tab/>
          </w:r>
          <w:r>
            <w:fldChar w:fldCharType="begin"/>
          </w:r>
          <w:r>
            <w:instrText xml:space="preserve"> PAGEREF _Toc6470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_Toc17779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待办事项</w:t>
          </w:r>
          <w:r>
            <w:tab/>
          </w:r>
          <w:r>
            <w:fldChar w:fldCharType="begin"/>
          </w:r>
          <w:r>
            <w:instrText xml:space="preserve"> PAGEREF _Toc17779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_Toc20929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我的项目</w:t>
          </w:r>
          <w:r>
            <w:tab/>
          </w:r>
          <w:r>
            <w:fldChar w:fldCharType="begin"/>
          </w:r>
          <w:r>
            <w:instrText xml:space="preserve"> PAGEREF _Toc20929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_Toc2313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（3） 购买文件</w:t>
          </w:r>
          <w:r>
            <w:tab/>
          </w:r>
          <w:r>
            <w:fldChar w:fldCharType="begin"/>
          </w:r>
          <w:r>
            <w:instrText xml:space="preserve"> PAGEREF _Toc2313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_Toc25220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（4） 文件下载</w:t>
          </w:r>
          <w:r>
            <w:tab/>
          </w:r>
          <w:r>
            <w:fldChar w:fldCharType="begin"/>
          </w:r>
          <w:r>
            <w:instrText xml:space="preserve"> PAGEREF _Toc25220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r>
            <w:fldChar w:fldCharType="end"/>
          </w:r>
        </w:p>
      </w:sdtContent>
    </w:sdt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0" w:name="_Toc29559"/>
      <w:r>
        <w:rPr>
          <w:rFonts w:hint="eastAsia"/>
          <w:lang w:val="en-US" w:eastAsia="zh-CN"/>
        </w:rPr>
        <w:t>供应商注册</w:t>
      </w:r>
    </w:p>
    <w:p>
      <w:pPr>
        <w:numPr>
          <w:ilvl w:val="0"/>
          <w:numId w:val="2"/>
        </w:numPr>
        <w:ind w:left="84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在浏览器地址栏输入https://www.cfet.com.cn，打开门户首页，点击用户注册</w:t>
      </w:r>
    </w:p>
    <w:p>
      <w:pPr>
        <w:numPr>
          <w:numId w:val="0"/>
        </w:numPr>
        <w:ind w:leftChars="0"/>
      </w:pPr>
      <w:r>
        <w:drawing>
          <wp:inline distT="0" distB="0" distL="114300" distR="114300">
            <wp:extent cx="5262880" cy="2964180"/>
            <wp:effectExtent l="9525" t="9525" r="10795" b="1079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9641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84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跳转信息填写页面后，按照页面字段正确填写信息，勾选用户协议，点击立即注册</w:t>
      </w:r>
    </w:p>
    <w:p>
      <w:pPr>
        <w:numPr>
          <w:numId w:val="0"/>
        </w:numPr>
        <w:ind w:left="420" w:leftChars="0"/>
      </w:pPr>
      <w:r>
        <w:drawing>
          <wp:inline distT="0" distB="0" distL="114300" distR="114300">
            <wp:extent cx="5268595" cy="3752850"/>
            <wp:effectExtent l="9525" t="9525" r="17780" b="9525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752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="420" w:leftChars="0"/>
      </w:pPr>
    </w:p>
    <w:p>
      <w:pPr>
        <w:numPr>
          <w:ilvl w:val="0"/>
          <w:numId w:val="2"/>
        </w:numPr>
        <w:ind w:left="420" w:leftChars="0" w:firstLine="40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根据所要注册的类型点击不同的分类，供应商或者专家</w:t>
      </w:r>
    </w:p>
    <w:p>
      <w:pPr>
        <w:numPr>
          <w:numId w:val="0"/>
        </w:numPr>
        <w:ind w:leftChars="0"/>
      </w:pPr>
      <w:r>
        <w:drawing>
          <wp:inline distT="0" distB="0" distL="114300" distR="114300">
            <wp:extent cx="5267325" cy="2918460"/>
            <wp:effectExtent l="9525" t="9525" r="19050" b="18415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184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420" w:leftChars="0" w:firstLine="40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选择供应商及对应类型后，进行详细信息页面，填写企业名称与统一社会信用代码后，系统会根据天眼查系统自动填充数据，供应商只需补充部分信息即可。</w:t>
      </w:r>
    </w:p>
    <w:p>
      <w:pPr>
        <w:numPr>
          <w:numId w:val="0"/>
        </w:numPr>
        <w:ind w:leftChars="0"/>
      </w:pPr>
      <w:r>
        <w:drawing>
          <wp:inline distT="0" distB="0" distL="114300" distR="114300">
            <wp:extent cx="5272405" cy="1246505"/>
            <wp:effectExtent l="9525" t="9525" r="13970" b="13970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2465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53990" cy="6161405"/>
            <wp:effectExtent l="9525" t="9525" r="19685" b="13970"/>
            <wp:docPr id="1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61614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420" w:leftChars="0" w:firstLine="40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信息补充完成后，点击下一步，上传营业执照</w:t>
      </w:r>
    </w:p>
    <w:p>
      <w:pPr>
        <w:numPr>
          <w:numId w:val="0"/>
        </w:numPr>
        <w:ind w:leftChars="0"/>
      </w:pPr>
      <w:r>
        <w:drawing>
          <wp:inline distT="0" distB="0" distL="114300" distR="114300">
            <wp:extent cx="5271135" cy="2005330"/>
            <wp:effectExtent l="9525" t="9525" r="15240" b="17145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053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420" w:leftChars="0" w:firstLine="400" w:firstLineChars="0"/>
        <w:rPr>
          <w:rFonts w:hint="default" w:eastAsia="仿宋"/>
          <w:lang w:val="en-US" w:eastAsia="zh-CN"/>
        </w:rPr>
      </w:pPr>
      <w:r>
        <w:rPr>
          <w:rFonts w:hint="eastAsia"/>
          <w:lang w:val="en-US" w:eastAsia="zh-CN"/>
        </w:rPr>
        <w:t>补充银行信息与发票信息，提交审批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1135" cy="4486910"/>
            <wp:effectExtent l="9525" t="9525" r="15240" b="12065"/>
            <wp:docPr id="1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4869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420" w:leftChars="0" w:firstLine="40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注册审核一般一个工作日内会以短信形式通知到注册号码，如果被驳回，以注册手机号码进行登录，查看驳回原因，修改后，重新提交；审核通过，即可进行一步操作。</w:t>
      </w:r>
    </w:p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登录页面</w:t>
      </w:r>
      <w:bookmarkEnd w:id="0"/>
    </w:p>
    <w:p>
      <w:pPr>
        <w:pStyle w:val="3"/>
        <w:numPr>
          <w:ilvl w:val="1"/>
          <w:numId w:val="3"/>
        </w:numPr>
        <w:bidi w:val="0"/>
        <w:rPr>
          <w:rFonts w:hint="eastAsia"/>
          <w:lang w:val="en-US" w:eastAsia="zh-CN"/>
        </w:rPr>
      </w:pPr>
      <w:bookmarkStart w:id="1" w:name="_Toc23148"/>
      <w:bookmarkStart w:id="2" w:name="_Toc27129"/>
      <w:r>
        <w:rPr>
          <w:rFonts w:hint="eastAsia"/>
          <w:lang w:val="en-US" w:eastAsia="zh-CN"/>
        </w:rPr>
        <w:t>门户登录</w:t>
      </w:r>
      <w:bookmarkEnd w:id="1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供应商打开浏览器，在地址导航栏输入地址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t>http://cfet.com.cn</w:t>
      </w:r>
      <w:r>
        <w:rPr>
          <w:rFonts w:hint="eastAsia"/>
          <w:sz w:val="24"/>
          <w:szCs w:val="24"/>
          <w:lang w:val="en-US" w:eastAsia="zh-CN"/>
        </w:rPr>
        <w:t>打开CETC电科诚采门户网站，如（门户登录_图1”）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284855" cy="5746115"/>
            <wp:effectExtent l="0" t="0" r="4445" b="6985"/>
            <wp:docPr id="33" name="图片 33" descr="CETC电科诚采门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CETC电科诚采门户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84855" cy="574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default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门户登录_图1</w:t>
      </w:r>
    </w:p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3" w:name="_Toc4045"/>
      <w:r>
        <w:rPr>
          <w:rFonts w:hint="eastAsia"/>
          <w:lang w:val="en-US" w:eastAsia="zh-CN"/>
        </w:rPr>
        <w:t>首页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用户在首页可查看待办任务、我的日程，通知公告、常用文件等，</w:t>
      </w:r>
      <w:r>
        <w:rPr>
          <w:rFonts w:hint="eastAsia"/>
          <w:sz w:val="24"/>
          <w:szCs w:val="24"/>
          <w:lang w:val="en-US" w:eastAsia="zh-CN"/>
        </w:rPr>
        <w:t>如（首页_图1）。</w:t>
      </w:r>
    </w:p>
    <w:p>
      <w:r>
        <w:drawing>
          <wp:inline distT="0" distB="0" distL="114300" distR="114300">
            <wp:extent cx="5267960" cy="2890520"/>
            <wp:effectExtent l="0" t="0" r="8890" b="508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9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首页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_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图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</w:t>
      </w:r>
    </w:p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4" w:name="_Toc30648"/>
      <w:r>
        <w:rPr>
          <w:rFonts w:hint="eastAsia"/>
          <w:lang w:val="en-US" w:eastAsia="zh-CN"/>
        </w:rPr>
        <w:t>采购执行</w:t>
      </w:r>
      <w:bookmarkEnd w:id="4"/>
    </w:p>
    <w:p>
      <w:pPr>
        <w:pStyle w:val="3"/>
        <w:numPr>
          <w:ilvl w:val="1"/>
          <w:numId w:val="1"/>
        </w:numPr>
        <w:bidi w:val="0"/>
        <w:rPr>
          <w:rFonts w:hint="eastAsia"/>
          <w:lang w:val="en-US" w:eastAsia="zh-CN"/>
        </w:rPr>
      </w:pPr>
      <w:bookmarkStart w:id="5" w:name="_Toc4895"/>
      <w:r>
        <w:rPr>
          <w:rFonts w:hint="eastAsia"/>
          <w:lang w:val="en-US" w:eastAsia="zh-CN"/>
        </w:rPr>
        <w:t>我的项目</w:t>
      </w:r>
      <w:bookmarkEnd w:id="5"/>
    </w:p>
    <w:p>
      <w:pPr>
        <w:pStyle w:val="4"/>
        <w:numPr>
          <w:ilvl w:val="2"/>
          <w:numId w:val="1"/>
        </w:numPr>
        <w:bidi w:val="0"/>
        <w:rPr>
          <w:rFonts w:hint="eastAsia"/>
          <w:lang w:val="en-US" w:eastAsia="zh-CN"/>
        </w:rPr>
      </w:pPr>
      <w:bookmarkStart w:id="6" w:name="_Toc28455"/>
      <w:r>
        <w:rPr>
          <w:rFonts w:hint="eastAsia"/>
          <w:lang w:val="en-US" w:eastAsia="zh-CN"/>
        </w:rPr>
        <w:t>报名</w:t>
      </w:r>
      <w:bookmarkEnd w:id="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供应商登录系统后，通过【采购执行】-【采购项目】-【我的项目】-【我要参与】进入可参与项目列表，如（我要参与_图1）。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8595" cy="2858770"/>
            <wp:effectExtent l="0" t="0" r="8255" b="825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我要参与_图1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点击【立即参与】-【确定】，跳转到我的项目页面，如（我的项目_图2）；查看公告可查看当前项目公告。</w:t>
      </w:r>
    </w:p>
    <w:p>
      <w:pPr>
        <w:numPr>
          <w:ilvl w:val="0"/>
          <w:numId w:val="0"/>
        </w:numPr>
        <w:spacing w:line="360" w:lineRule="auto"/>
        <w:jc w:val="both"/>
      </w:pPr>
      <w:r>
        <w:drawing>
          <wp:inline distT="0" distB="0" distL="114300" distR="114300">
            <wp:extent cx="5271135" cy="1661795"/>
            <wp:effectExtent l="0" t="0" r="5715" b="508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我的项目_图2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点击【报名】，进入报名页面，如（报名_图3）；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点击【项目工作台】，可进入项目工作台。</w:t>
      </w:r>
    </w:p>
    <w:p>
      <w:pPr>
        <w:numPr>
          <w:ilvl w:val="0"/>
          <w:numId w:val="0"/>
        </w:numPr>
        <w:spacing w:line="360" w:lineRule="auto"/>
        <w:jc w:val="both"/>
      </w:pPr>
      <w:r>
        <w:drawing>
          <wp:inline distT="0" distB="0" distL="114300" distR="114300">
            <wp:extent cx="5273040" cy="3021330"/>
            <wp:effectExtent l="9525" t="9525" r="13335" b="1714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0213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2145665"/>
            <wp:effectExtent l="9525" t="9525" r="13335" b="16510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456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报名_图3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根据页面提示填写所需信息，上传所需文件，提交后生效。</w:t>
      </w:r>
    </w:p>
    <w:p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default"/>
          <w:lang w:val="en-US" w:eastAsia="zh-CN"/>
        </w:rPr>
      </w:pPr>
      <w:bookmarkStart w:id="7" w:name="_Toc6470"/>
      <w:r>
        <w:rPr>
          <w:rFonts w:hint="eastAsia"/>
          <w:lang w:val="en-US" w:eastAsia="zh-CN"/>
        </w:rPr>
        <w:t>邀请回执</w:t>
      </w:r>
      <w:bookmarkEnd w:id="7"/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eastAsia" w:ascii="宋体" w:hAnsi="宋体" w:eastAsia="宋体" w:cs="宋体"/>
          <w:b/>
          <w:bCs/>
          <w:color w:val="FF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4"/>
          <w:szCs w:val="24"/>
          <w:lang w:val="en-US" w:eastAsia="zh-CN"/>
        </w:rPr>
        <w:t>注：邀请项目，投标人需要对投标邀请做反馈。</w:t>
      </w:r>
    </w:p>
    <w:p>
      <w:pPr>
        <w:pStyle w:val="4"/>
        <w:numPr>
          <w:ilvl w:val="0"/>
          <w:numId w:val="4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bookmarkStart w:id="8" w:name="_Toc17779"/>
      <w:r>
        <w:rPr>
          <w:rFonts w:hint="eastAsia"/>
          <w:lang w:val="en-US" w:eastAsia="zh-CN"/>
        </w:rPr>
        <w:t>待办事项</w:t>
      </w:r>
      <w:bookmarkEnd w:id="8"/>
    </w:p>
    <w:p>
      <w:r>
        <w:drawing>
          <wp:inline distT="0" distB="0" distL="114300" distR="114300">
            <wp:extent cx="5273675" cy="2835910"/>
            <wp:effectExtent l="9525" t="9525" r="12700" b="12065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359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jc w:val="center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邀请待回执待办_图1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项目经理发出邀请书之后，投标人收到邀请待回执的事项，点击该事项，进行邀请确认。</w:t>
      </w:r>
    </w:p>
    <w:p>
      <w:pPr>
        <w:pStyle w:val="4"/>
        <w:numPr>
          <w:ilvl w:val="0"/>
          <w:numId w:val="4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bookmarkStart w:id="9" w:name="_Toc20929"/>
      <w:r>
        <w:rPr>
          <w:rFonts w:hint="eastAsia"/>
          <w:lang w:val="en-US" w:eastAsia="zh-CN"/>
        </w:rPr>
        <w:t>我的项目</w:t>
      </w:r>
      <w:bookmarkEnd w:id="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投标人通过【采购执行】-【我的项目】进入如（我的项目_图1）。</w:t>
      </w:r>
    </w:p>
    <w:p>
      <w:r>
        <w:drawing>
          <wp:inline distT="0" distB="0" distL="114300" distR="114300">
            <wp:extent cx="5268595" cy="2889885"/>
            <wp:effectExtent l="9525" t="9525" r="17780" b="21590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898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我的项目_图1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点击【邀请回执】，进入邀请回执确认页面，如（邀请回执确认_图1）。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675" cy="3147060"/>
            <wp:effectExtent l="9525" t="9525" r="12700" b="18415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1470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邀请回执确认_图1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邀请回执信息发送至项目经理</w:t>
      </w:r>
      <w:r>
        <w:rPr>
          <w:rFonts w:hint="eastAsia"/>
          <w:sz w:val="24"/>
          <w:szCs w:val="24"/>
          <w:lang w:val="en-US" w:eastAsia="zh-CN"/>
        </w:rPr>
        <w:t>。确认是否参加后，根据页面提示填写信息，上传文件，点击发送完成回执。</w:t>
      </w:r>
    </w:p>
    <w:p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10" w:name="_Toc2313"/>
      <w:r>
        <w:rPr>
          <w:rFonts w:hint="eastAsia"/>
          <w:lang w:val="en-US" w:eastAsia="zh-CN"/>
        </w:rPr>
        <w:t>购买文件</w:t>
      </w:r>
      <w:bookmarkEnd w:id="1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投标人/供应商通过点击【采购执行】-【我的项目】-【我的项目】，进入已经参与的项目查询页面，如（购买文件_图1）。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871470"/>
            <wp:effectExtent l="9525" t="9525" r="19685" b="14605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714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购买文件_图1</w:t>
      </w:r>
    </w:p>
    <w:p>
      <w:pPr>
        <w:numPr>
          <w:ilvl w:val="0"/>
          <w:numId w:val="0"/>
        </w:numPr>
        <w:spacing w:line="360" w:lineRule="auto"/>
        <w:ind w:left="420" w:leftChars="0"/>
        <w:jc w:val="both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点击【购买文件】，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弹出发票信息弹框，如（图发票信息_图1）。</w:t>
      </w:r>
    </w:p>
    <w:p>
      <w:pPr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4446905" cy="2814955"/>
            <wp:effectExtent l="9525" t="9525" r="13970" b="20320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24"/>
                    <a:srcRect r="1012" b="1868"/>
                    <a:stretch>
                      <a:fillRect/>
                    </a:stretch>
                  </pic:blipFill>
                  <pic:spPr>
                    <a:xfrm>
                      <a:off x="0" y="0"/>
                      <a:ext cx="4446905" cy="28149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发票信息_图1</w:t>
      </w:r>
    </w:p>
    <w:p>
      <w:pPr>
        <w:numPr>
          <w:ilvl w:val="0"/>
          <w:numId w:val="0"/>
        </w:numPr>
        <w:spacing w:line="360" w:lineRule="auto"/>
        <w:ind w:left="420" w:leftChars="0"/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维护完成发票信息后，进入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订单信息维护页面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，如（填写购标信息_图1）。</w:t>
      </w:r>
    </w:p>
    <w:p>
      <w:pPr>
        <w:numPr>
          <w:ilvl w:val="0"/>
          <w:numId w:val="0"/>
        </w:numPr>
        <w:spacing w:line="360" w:lineRule="auto"/>
        <w:jc w:val="both"/>
      </w:pPr>
      <w:r>
        <w:drawing>
          <wp:inline distT="0" distB="0" distL="114300" distR="114300">
            <wp:extent cx="5270500" cy="3215640"/>
            <wp:effectExtent l="9525" t="9525" r="15875" b="13335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156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497205"/>
            <wp:effectExtent l="9525" t="9525" r="19050" b="1397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972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1411605"/>
            <wp:effectExtent l="9525" t="9525" r="13970" b="13970"/>
            <wp:docPr id="2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4116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jc w:val="both"/>
      </w:pPr>
      <w:r>
        <w:drawing>
          <wp:inline distT="0" distB="0" distL="114300" distR="114300">
            <wp:extent cx="5264150" cy="2674620"/>
            <wp:effectExtent l="0" t="0" r="6350" b="5080"/>
            <wp:docPr id="2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填写购标信息_图1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选择支付方式后，按照页面提示填写信息，填写完成后，提交订单，等待项目经理复核完成后，可进行文件下载操作。（线上购标通过扫码支付，支付成功后，即可购买文件与下载发票，线下支付需上传至证明附件，待复核通过后即可下载文件）</w:t>
      </w:r>
    </w:p>
    <w:p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11" w:name="_Toc25220"/>
      <w:r>
        <w:rPr>
          <w:rFonts w:hint="eastAsia"/>
          <w:lang w:val="en-US" w:eastAsia="zh-CN"/>
        </w:rPr>
        <w:t>文件下载</w:t>
      </w:r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线下支付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项目经理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进行订单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复核通过之后显示</w:t>
      </w:r>
      <w:r>
        <w:rPr>
          <w:rFonts w:hint="eastAsia"/>
          <w:sz w:val="24"/>
          <w:szCs w:val="24"/>
          <w:lang w:val="en-US" w:eastAsia="zh-CN"/>
        </w:rPr>
        <w:t>【文件下载】按钮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线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上支付成功则</w:t>
      </w:r>
      <w:r>
        <w:rPr>
          <w:rFonts w:hint="eastAsia"/>
          <w:sz w:val="24"/>
          <w:szCs w:val="24"/>
          <w:lang w:val="en-US" w:eastAsia="zh-CN"/>
        </w:rPr>
        <w:t>显示【文件下载】按钮，供应商/投标人通过【采购执行】-【采购项目】-【我的项目】进入项目列表，如（文件下载_图1）。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675" cy="2884170"/>
            <wp:effectExtent l="9525" t="9525" r="12700" b="14605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841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文件下载_图1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点击【文件下载】</w:t>
      </w:r>
      <w:r>
        <w:rPr>
          <w:rFonts w:hint="eastAsia"/>
          <w:sz w:val="24"/>
          <w:szCs w:val="24"/>
          <w:lang w:val="en-US" w:eastAsia="zh-CN"/>
        </w:rPr>
        <w:t>，可</w:t>
      </w:r>
      <w:r>
        <w:rPr>
          <w:rFonts w:hint="default"/>
          <w:sz w:val="24"/>
          <w:szCs w:val="24"/>
          <w:lang w:val="en-US" w:eastAsia="zh-CN"/>
        </w:rPr>
        <w:t>下载招标或</w:t>
      </w:r>
      <w:r>
        <w:rPr>
          <w:rFonts w:hint="eastAsia"/>
          <w:sz w:val="24"/>
          <w:szCs w:val="24"/>
          <w:lang w:val="en-US" w:eastAsia="zh-CN"/>
        </w:rPr>
        <w:t>采购</w:t>
      </w:r>
      <w:r>
        <w:rPr>
          <w:rFonts w:hint="default"/>
          <w:sz w:val="24"/>
          <w:szCs w:val="24"/>
          <w:lang w:val="en-US" w:eastAsia="zh-CN"/>
        </w:rPr>
        <w:t>文件</w:t>
      </w:r>
      <w:r>
        <w:rPr>
          <w:rFonts w:hint="eastAsia"/>
          <w:sz w:val="24"/>
          <w:szCs w:val="24"/>
          <w:lang w:val="en-US" w:eastAsia="zh-CN"/>
        </w:rPr>
        <w:t>至本地。</w:t>
      </w:r>
    </w:p>
    <w:p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缴纳保证金</w:t>
      </w:r>
    </w:p>
    <w:p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供应商下载文件后，点击项目工作台，进入操作页面，查看公告中的保证金子账号，通过该账号缴纳对应保证金。</w:t>
      </w:r>
      <w:bookmarkStart w:id="12" w:name="_GoBack"/>
      <w:bookmarkEnd w:id="1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/>
          <w:sz w:val="24"/>
          <w:szCs w:val="24"/>
          <w:lang w:val="en-US" w:eastAsia="zh-C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rPr>
        <w:rFonts w:hint="default" w:eastAsia="黑体"/>
        <w:u w:val="single"/>
        <w:lang w:val="en-US" w:eastAsia="zh-CN"/>
      </w:rPr>
    </w:pPr>
    <w:r>
      <w:rPr>
        <w:rFonts w:hint="eastAsia"/>
        <w:u w:val="single"/>
        <w:lang w:val="en-US" w:eastAsia="zh-CN"/>
      </w:rPr>
      <w:t xml:space="preserve">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B8994D"/>
    <w:multiLevelType w:val="multilevel"/>
    <w:tmpl w:val="8FB8994D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1">
    <w:nsid w:val="B2BE2E6F"/>
    <w:multiLevelType w:val="singleLevel"/>
    <w:tmpl w:val="B2BE2E6F"/>
    <w:lvl w:ilvl="0" w:tentative="0">
      <w:start w:val="1"/>
      <w:numFmt w:val="decimal"/>
      <w:suff w:val="nothing"/>
      <w:lvlText w:val="%1．"/>
      <w:lvlJc w:val="left"/>
      <w:pPr>
        <w:ind w:left="420" w:firstLine="400"/>
      </w:pPr>
      <w:rPr>
        <w:rFonts w:hint="default"/>
      </w:rPr>
    </w:lvl>
  </w:abstractNum>
  <w:abstractNum w:abstractNumId="2">
    <w:nsid w:val="0A204384"/>
    <w:multiLevelType w:val="singleLevel"/>
    <w:tmpl w:val="0A204384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">
    <w:nsid w:val="4D21710A"/>
    <w:multiLevelType w:val="multilevel"/>
    <w:tmpl w:val="4D21710A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wOWY1OThjOTBmY2I1M2U5OGEyOWE4OWU3MTI0MDIifQ=="/>
    <w:docVar w:name="KSO_WPS_MARK_KEY" w:val="42cac412-9e21-4f18-a8fa-b814664e4dc3"/>
  </w:docVars>
  <w:rsids>
    <w:rsidRoot w:val="00000000"/>
    <w:rsid w:val="02924A42"/>
    <w:rsid w:val="039871ED"/>
    <w:rsid w:val="06534FD1"/>
    <w:rsid w:val="09653637"/>
    <w:rsid w:val="0AD171DB"/>
    <w:rsid w:val="0B262031"/>
    <w:rsid w:val="0C6C0502"/>
    <w:rsid w:val="10C90025"/>
    <w:rsid w:val="110E4174"/>
    <w:rsid w:val="12012023"/>
    <w:rsid w:val="1271781B"/>
    <w:rsid w:val="12A96A1F"/>
    <w:rsid w:val="165B2E3B"/>
    <w:rsid w:val="184C2409"/>
    <w:rsid w:val="187E3BEA"/>
    <w:rsid w:val="18AB34CA"/>
    <w:rsid w:val="1AD556E9"/>
    <w:rsid w:val="1ADE1BE9"/>
    <w:rsid w:val="1B2E0721"/>
    <w:rsid w:val="1BE04E45"/>
    <w:rsid w:val="1D6C171F"/>
    <w:rsid w:val="1DCD00C6"/>
    <w:rsid w:val="1E7C1627"/>
    <w:rsid w:val="2238791D"/>
    <w:rsid w:val="227E139E"/>
    <w:rsid w:val="24EE1B49"/>
    <w:rsid w:val="285F4B0C"/>
    <w:rsid w:val="2971376E"/>
    <w:rsid w:val="2B774C09"/>
    <w:rsid w:val="2CF16C6C"/>
    <w:rsid w:val="2D281971"/>
    <w:rsid w:val="31601AE1"/>
    <w:rsid w:val="317364D1"/>
    <w:rsid w:val="323963CE"/>
    <w:rsid w:val="33125209"/>
    <w:rsid w:val="361B02C4"/>
    <w:rsid w:val="3689507B"/>
    <w:rsid w:val="37377F76"/>
    <w:rsid w:val="388F2DAC"/>
    <w:rsid w:val="396E515E"/>
    <w:rsid w:val="3F973B34"/>
    <w:rsid w:val="42F61A03"/>
    <w:rsid w:val="43455505"/>
    <w:rsid w:val="445D1E68"/>
    <w:rsid w:val="44E85546"/>
    <w:rsid w:val="46C2478C"/>
    <w:rsid w:val="476B6BD2"/>
    <w:rsid w:val="4900334A"/>
    <w:rsid w:val="49F50D2B"/>
    <w:rsid w:val="4A234023"/>
    <w:rsid w:val="4A6427D1"/>
    <w:rsid w:val="4D640208"/>
    <w:rsid w:val="4DAE2F4C"/>
    <w:rsid w:val="4F721432"/>
    <w:rsid w:val="50AF5049"/>
    <w:rsid w:val="53830C1D"/>
    <w:rsid w:val="54CC73C2"/>
    <w:rsid w:val="557773FB"/>
    <w:rsid w:val="56260CB7"/>
    <w:rsid w:val="567C4958"/>
    <w:rsid w:val="56AF2930"/>
    <w:rsid w:val="57805D82"/>
    <w:rsid w:val="593D5A54"/>
    <w:rsid w:val="5BEE5874"/>
    <w:rsid w:val="5E3C52C0"/>
    <w:rsid w:val="5E617BC4"/>
    <w:rsid w:val="5E8A51B3"/>
    <w:rsid w:val="5F685EE8"/>
    <w:rsid w:val="61F626E1"/>
    <w:rsid w:val="61FD3ED8"/>
    <w:rsid w:val="63C94F54"/>
    <w:rsid w:val="67987117"/>
    <w:rsid w:val="67A21667"/>
    <w:rsid w:val="68FD72DA"/>
    <w:rsid w:val="69567CE1"/>
    <w:rsid w:val="69BB4B07"/>
    <w:rsid w:val="6A861CF3"/>
    <w:rsid w:val="6A886960"/>
    <w:rsid w:val="6ADB7A47"/>
    <w:rsid w:val="6B252A70"/>
    <w:rsid w:val="6C57134F"/>
    <w:rsid w:val="6E2F772D"/>
    <w:rsid w:val="6EC30F1E"/>
    <w:rsid w:val="6F20559F"/>
    <w:rsid w:val="6F504D9E"/>
    <w:rsid w:val="71995F66"/>
    <w:rsid w:val="73E64D74"/>
    <w:rsid w:val="73F233AE"/>
    <w:rsid w:val="77074FC4"/>
    <w:rsid w:val="77321D48"/>
    <w:rsid w:val="77E47E66"/>
    <w:rsid w:val="78566129"/>
    <w:rsid w:val="7AE71CCE"/>
    <w:rsid w:val="7C1E3C37"/>
    <w:rsid w:val="7E1F77F3"/>
    <w:rsid w:val="7F9E2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" w:asciiTheme="minorAscii" w:hAnsiTheme="minorAscii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30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qFormat/>
    <w:uiPriority w:val="0"/>
    <w:pPr>
      <w:ind w:left="840" w:leftChars="4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1"/>
    <w:basedOn w:val="1"/>
    <w:next w:val="1"/>
    <w:qFormat/>
    <w:uiPriority w:val="0"/>
  </w:style>
  <w:style w:type="paragraph" w:styleId="9">
    <w:name w:val="toc 2"/>
    <w:basedOn w:val="1"/>
    <w:next w:val="1"/>
    <w:qFormat/>
    <w:uiPriority w:val="0"/>
    <w:pPr>
      <w:ind w:left="420" w:leftChars="200"/>
    </w:pPr>
  </w:style>
  <w:style w:type="character" w:styleId="12">
    <w:name w:val="FollowedHyperlink"/>
    <w:basedOn w:val="11"/>
    <w:qFormat/>
    <w:uiPriority w:val="0"/>
    <w:rPr>
      <w:color w:val="800080"/>
      <w:u w:val="single"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2" Type="http://schemas.openxmlformats.org/officeDocument/2006/relationships/fontTable" Target="fontTable.xml"/><Relationship Id="rId31" Type="http://schemas.openxmlformats.org/officeDocument/2006/relationships/numbering" Target="numbering.xml"/><Relationship Id="rId30" Type="http://schemas.openxmlformats.org/officeDocument/2006/relationships/customXml" Target="../customXml/item1.xml"/><Relationship Id="rId3" Type="http://schemas.openxmlformats.org/officeDocument/2006/relationships/header" Target="header1.xml"/><Relationship Id="rId29" Type="http://schemas.openxmlformats.org/officeDocument/2006/relationships/image" Target="media/image23.png"/><Relationship Id="rId28" Type="http://schemas.openxmlformats.org/officeDocument/2006/relationships/image" Target="media/image22.png"/><Relationship Id="rId27" Type="http://schemas.openxmlformats.org/officeDocument/2006/relationships/image" Target="media/image21.png"/><Relationship Id="rId26" Type="http://schemas.openxmlformats.org/officeDocument/2006/relationships/image" Target="media/image20.png"/><Relationship Id="rId25" Type="http://schemas.openxmlformats.org/officeDocument/2006/relationships/image" Target="media/image19.png"/><Relationship Id="rId24" Type="http://schemas.openxmlformats.org/officeDocument/2006/relationships/image" Target="media/image18.png"/><Relationship Id="rId23" Type="http://schemas.openxmlformats.org/officeDocument/2006/relationships/image" Target="media/image17.png"/><Relationship Id="rId22" Type="http://schemas.openxmlformats.org/officeDocument/2006/relationships/image" Target="media/image16.png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1315</Words>
  <Characters>1375</Characters>
  <Lines>0</Lines>
  <Paragraphs>0</Paragraphs>
  <TotalTime>39</TotalTime>
  <ScaleCrop>false</ScaleCrop>
  <LinksUpToDate>false</LinksUpToDate>
  <CharactersWithSpaces>1424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2023-10-19T11:15:00Z</dcterms:created>
  <dc:creator>wangw</dc:creator>
  <cp:lastModifiedBy>许海玲</cp:lastModifiedBy>
  <dcterms:modified xsi:type="dcterms:W3CDTF">2025-04-23T03:23:25Z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91C66F49B34E427484F76F8612569C0A_13</vt:lpwstr>
  </property>
  <property fmtid="{D5CDD505-2E9C-101B-9397-08002B2CF9AE}" pid="4" name="KSOTemplateDocerSaveRecord">
    <vt:lpwstr>eyJoZGlkIjoiMGI4NWUyZmJhMjc4YmEzYjVkMDcyNTFhYjRlY2UyYjUiLCJ1c2VySWQiOiIxMjAzNTcyNTg1In0=</vt:lpwstr>
  </property>
</Properties>
</file>