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FA900">
      <w:pPr>
        <w:jc w:val="center"/>
      </w:pPr>
    </w:p>
    <w:p w14:paraId="645BA10E">
      <w:pPr>
        <w:jc w:val="center"/>
      </w:pPr>
    </w:p>
    <w:p w14:paraId="7DB44144">
      <w:pPr>
        <w:jc w:val="center"/>
      </w:pPr>
    </w:p>
    <w:p w14:paraId="22AE9820">
      <w:pPr>
        <w:jc w:val="center"/>
      </w:pPr>
    </w:p>
    <w:p w14:paraId="504EA8D8">
      <w:pPr>
        <w:jc w:val="center"/>
      </w:pPr>
    </w:p>
    <w:p w14:paraId="72E49222">
      <w:pPr>
        <w:jc w:val="center"/>
      </w:pPr>
    </w:p>
    <w:p w14:paraId="006A8F7B">
      <w:pPr>
        <w:jc w:val="center"/>
      </w:pPr>
    </w:p>
    <w:p w14:paraId="57663538">
      <w:pPr>
        <w:jc w:val="center"/>
      </w:pPr>
    </w:p>
    <w:p w14:paraId="73737A75">
      <w:pPr>
        <w:jc w:val="center"/>
      </w:pPr>
    </w:p>
    <w:p w14:paraId="29A0AE33">
      <w:pPr>
        <w:jc w:val="center"/>
      </w:pPr>
    </w:p>
    <w:p w14:paraId="493B2CD3">
      <w:pPr>
        <w:bidi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  <w:t>“电科诚采”电子采购平台</w:t>
      </w:r>
    </w:p>
    <w:p w14:paraId="5F1DE48D">
      <w:pPr>
        <w:bidi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（供应商角色）</w:t>
      </w:r>
    </w:p>
    <w:p w14:paraId="738127AD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C51F073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7D8006FE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31A8CF91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4255D12D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0CB8144A"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 w14:paraId="314C33FD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5B602FF">
      <w:pPr>
        <w:spacing w:line="360" w:lineRule="auto"/>
        <w:ind w:left="0" w:leftChars="0" w:firstLine="0" w:firstLineChars="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上海汇招信息技术有限公司</w:t>
      </w:r>
    </w:p>
    <w:p w14:paraId="45F6A787"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202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/>
          <w:sz w:val="36"/>
          <w:szCs w:val="36"/>
        </w:rPr>
        <w:t xml:space="preserve"> 年 0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6 </w:t>
      </w:r>
      <w:r>
        <w:rPr>
          <w:rFonts w:hint="eastAsia" w:ascii="黑体" w:hAnsi="黑体" w:eastAsia="黑体"/>
          <w:sz w:val="36"/>
          <w:szCs w:val="36"/>
        </w:rPr>
        <w:t>月</w:t>
      </w:r>
    </w:p>
    <w:p w14:paraId="58277902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 w14:paraId="398E0249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 w14:paraId="7793C2C7">
      <w:pPr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br w:type="page"/>
      </w:r>
    </w:p>
    <w:p w14:paraId="2D50272A">
      <w:pPr>
        <w:spacing w:before="91" w:line="360" w:lineRule="auto"/>
        <w:ind w:left="130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3"/>
          <w:sz w:val="28"/>
          <w:szCs w:val="28"/>
        </w:rPr>
        <w:t>修订记录</w:t>
      </w:r>
    </w:p>
    <w:p w14:paraId="61B1742C">
      <w:pPr>
        <w:spacing w:line="360" w:lineRule="auto"/>
      </w:pPr>
    </w:p>
    <w:tbl>
      <w:tblPr>
        <w:tblStyle w:val="15"/>
        <w:tblW w:w="852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291"/>
        <w:gridCol w:w="1864"/>
        <w:gridCol w:w="1386"/>
        <w:gridCol w:w="3081"/>
      </w:tblGrid>
      <w:tr w14:paraId="2F06A1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906" w:type="dxa"/>
            <w:shd w:val="clear" w:color="auto" w:fill="E0E0E0"/>
            <w:vAlign w:val="center"/>
          </w:tcPr>
          <w:p w14:paraId="4BBE1786">
            <w:pPr>
              <w:spacing w:before="138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91" w:type="dxa"/>
            <w:shd w:val="clear" w:color="auto" w:fill="E0E0E0"/>
            <w:vAlign w:val="center"/>
          </w:tcPr>
          <w:p w14:paraId="031D76E4"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版本号</w:t>
            </w:r>
          </w:p>
        </w:tc>
        <w:tc>
          <w:tcPr>
            <w:tcW w:w="1864" w:type="dxa"/>
            <w:shd w:val="clear" w:color="auto" w:fill="E0E0E0"/>
            <w:vAlign w:val="center"/>
          </w:tcPr>
          <w:p w14:paraId="4FD9D834"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  <w:lang w:val="en-US" w:eastAsia="zh-CN"/>
              </w:rPr>
              <w:t>修订时间</w:t>
            </w:r>
          </w:p>
        </w:tc>
        <w:tc>
          <w:tcPr>
            <w:tcW w:w="1386" w:type="dxa"/>
            <w:shd w:val="clear" w:color="auto" w:fill="E0E0E0"/>
            <w:vAlign w:val="center"/>
          </w:tcPr>
          <w:p w14:paraId="550CF2D1"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修订人员</w:t>
            </w:r>
          </w:p>
        </w:tc>
        <w:tc>
          <w:tcPr>
            <w:tcW w:w="3081" w:type="dxa"/>
            <w:shd w:val="clear" w:color="auto" w:fill="E0E0E0"/>
            <w:vAlign w:val="center"/>
          </w:tcPr>
          <w:p w14:paraId="17C9FE0C"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修订说明</w:t>
            </w:r>
          </w:p>
        </w:tc>
      </w:tr>
      <w:tr w14:paraId="7D6378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 w14:paraId="6219FC28">
            <w:pPr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91" w:type="dxa"/>
            <w:vAlign w:val="center"/>
          </w:tcPr>
          <w:p w14:paraId="5FA2D988">
            <w:pPr>
              <w:spacing w:before="134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V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64" w:type="dxa"/>
            <w:vAlign w:val="center"/>
          </w:tcPr>
          <w:p w14:paraId="1BB3C950">
            <w:pPr>
              <w:tabs>
                <w:tab w:val="center" w:pos="634"/>
              </w:tabs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-0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386" w:type="dxa"/>
            <w:vAlign w:val="center"/>
          </w:tcPr>
          <w:p w14:paraId="43A03138"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xxx</w:t>
            </w:r>
          </w:p>
        </w:tc>
        <w:tc>
          <w:tcPr>
            <w:tcW w:w="3081" w:type="dxa"/>
            <w:vAlign w:val="center"/>
          </w:tcPr>
          <w:p w14:paraId="2B3A0436"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初稿</w:t>
            </w:r>
          </w:p>
        </w:tc>
      </w:tr>
      <w:tr w14:paraId="09F7C3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 w14:paraId="0823E224"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 w14:paraId="42C1DBAD">
            <w:pPr>
              <w:pStyle w:val="16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 w14:paraId="2C9F5A88">
            <w:pPr>
              <w:pStyle w:val="16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 w14:paraId="6F587ABD">
            <w:pPr>
              <w:pStyle w:val="16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 w14:paraId="7FA15274">
            <w:pPr>
              <w:pStyle w:val="16"/>
              <w:spacing w:line="360" w:lineRule="auto"/>
              <w:jc w:val="center"/>
            </w:pPr>
          </w:p>
        </w:tc>
      </w:tr>
      <w:tr w14:paraId="1588B4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 w14:paraId="08B1801B"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 w14:paraId="47340EB2">
            <w:pPr>
              <w:pStyle w:val="16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 w14:paraId="6C2A12B2">
            <w:pPr>
              <w:pStyle w:val="16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 w14:paraId="6FF5C0B5">
            <w:pPr>
              <w:pStyle w:val="16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 w14:paraId="15CFB77B">
            <w:pPr>
              <w:pStyle w:val="16"/>
              <w:spacing w:line="360" w:lineRule="auto"/>
              <w:jc w:val="center"/>
            </w:pPr>
          </w:p>
        </w:tc>
      </w:tr>
    </w:tbl>
    <w:p w14:paraId="0C34B3F7">
      <w:pPr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4021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</w:sdtEndPr>
      <w:sdtContent>
        <w:p w14:paraId="1EDE2E75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bookmarkStart w:id="39" w:name="_GoBack"/>
          <w:bookmarkEnd w:id="39"/>
          <w:r>
            <w:rPr>
              <w:rFonts w:ascii="宋体" w:hAnsi="宋体" w:eastAsia="宋体"/>
              <w:sz w:val="21"/>
            </w:rPr>
            <w:t>目录</w:t>
          </w:r>
        </w:p>
        <w:p w14:paraId="634BAF29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_Toc16998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一、 登录页面</w:t>
          </w:r>
          <w:r>
            <w:tab/>
          </w:r>
          <w:r>
            <w:fldChar w:fldCharType="begin"/>
          </w:r>
          <w:r>
            <w:instrText xml:space="preserve"> PAGEREF _Toc16998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4095ECB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_Toc18581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1． 门户登录</w:t>
          </w:r>
          <w:r>
            <w:tab/>
          </w:r>
          <w:r>
            <w:fldChar w:fldCharType="begin"/>
          </w:r>
          <w:r>
            <w:instrText xml:space="preserve"> PAGEREF _Toc18581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54E0C906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_Toc29720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2． 直接登录</w:t>
          </w:r>
          <w:r>
            <w:tab/>
          </w:r>
          <w:r>
            <w:fldChar w:fldCharType="begin"/>
          </w:r>
          <w:r>
            <w:instrText xml:space="preserve"> PAGEREF _Toc29720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7E9A34F7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_Toc10508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二、 首页</w:t>
          </w:r>
          <w:r>
            <w:tab/>
          </w:r>
          <w:r>
            <w:fldChar w:fldCharType="begin"/>
          </w:r>
          <w:r>
            <w:instrText xml:space="preserve"> PAGEREF _Toc10508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4EA11A90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_Toc20135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三、 CA绑定</w:t>
          </w:r>
          <w:r>
            <w:tab/>
          </w:r>
          <w:r>
            <w:fldChar w:fldCharType="begin"/>
          </w:r>
          <w:r>
            <w:instrText xml:space="preserve"> PAGEREF _Toc20135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2120D41E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_Toc4004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（1） CA绑定</w:t>
          </w:r>
          <w:r>
            <w:tab/>
          </w:r>
          <w:r>
            <w:fldChar w:fldCharType="begin"/>
          </w:r>
          <w:r>
            <w:instrText xml:space="preserve"> PAGEREF _Toc4004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0D6EAADE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_Toc31156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（2） 解除绑定</w:t>
          </w:r>
          <w:r>
            <w:tab/>
          </w:r>
          <w:r>
            <w:fldChar w:fldCharType="begin"/>
          </w:r>
          <w:r>
            <w:instrText xml:space="preserve"> PAGEREF _Toc31156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27DAB9C2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_Toc11553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四、 采购执行</w:t>
          </w:r>
          <w:r>
            <w:tab/>
          </w:r>
          <w:r>
            <w:fldChar w:fldCharType="begin"/>
          </w:r>
          <w:r>
            <w:instrText xml:space="preserve"> PAGEREF _Toc11553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7FF6B892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_Toc5107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1． 我的项目</w:t>
          </w:r>
          <w:r>
            <w:tab/>
          </w:r>
          <w:r>
            <w:fldChar w:fldCharType="begin"/>
          </w:r>
          <w:r>
            <w:instrText xml:space="preserve"> PAGEREF _Toc5107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6905E296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_Toc6750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（1） 报名</w:t>
          </w:r>
          <w:r>
            <w:tab/>
          </w:r>
          <w:r>
            <w:fldChar w:fldCharType="begin"/>
          </w:r>
          <w:r>
            <w:instrText xml:space="preserve"> PAGEREF _Toc6750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1439AACC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_Toc23527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（2） 邀请回执</w:t>
          </w:r>
          <w:r>
            <w:tab/>
          </w:r>
          <w:r>
            <w:fldChar w:fldCharType="begin"/>
          </w:r>
          <w:r>
            <w:instrText xml:space="preserve"> PAGEREF _Toc23527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35C46125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_Toc18595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待办事项</w:t>
          </w:r>
          <w:r>
            <w:tab/>
          </w:r>
          <w:r>
            <w:fldChar w:fldCharType="begin"/>
          </w:r>
          <w:r>
            <w:instrText xml:space="preserve"> PAGEREF _Toc18595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1C195BEB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_Toc8024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我的项目</w:t>
          </w:r>
          <w:r>
            <w:tab/>
          </w:r>
          <w:r>
            <w:fldChar w:fldCharType="begin"/>
          </w:r>
          <w:r>
            <w:instrText xml:space="preserve"> PAGEREF _Toc8024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4F153B4C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_Toc29101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（3） 购买文件</w:t>
          </w:r>
          <w:r>
            <w:tab/>
          </w:r>
          <w:r>
            <w:fldChar w:fldCharType="begin"/>
          </w:r>
          <w:r>
            <w:instrText xml:space="preserve"> PAGEREF _Toc29101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2B0141B3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_Toc12229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线上支付</w:t>
          </w:r>
          <w:r>
            <w:tab/>
          </w:r>
          <w:r>
            <w:fldChar w:fldCharType="begin"/>
          </w:r>
          <w:r>
            <w:instrText xml:space="preserve"> PAGEREF _Toc12229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6393BA89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_Toc27882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线下支付</w:t>
          </w:r>
          <w:r>
            <w:tab/>
          </w:r>
          <w:r>
            <w:fldChar w:fldCharType="begin"/>
          </w:r>
          <w:r>
            <w:instrText xml:space="preserve"> PAGEREF _Toc27882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01A86E03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_Toc19231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（4） 文件下载</w:t>
          </w:r>
          <w:r>
            <w:tab/>
          </w:r>
          <w:r>
            <w:fldChar w:fldCharType="begin"/>
          </w:r>
          <w:r>
            <w:instrText xml:space="preserve"> PAGEREF _Toc19231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7F4AAD31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_Toc15298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（5） 招标文件澄清（可选）</w:t>
          </w:r>
          <w:r>
            <w:tab/>
          </w:r>
          <w:r>
            <w:fldChar w:fldCharType="begin"/>
          </w:r>
          <w:r>
            <w:instrText xml:space="preserve"> PAGEREF _Toc15298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156C4D19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_Toc9095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提出问题</w:t>
          </w:r>
          <w:r>
            <w:tab/>
          </w:r>
          <w:r>
            <w:fldChar w:fldCharType="begin"/>
          </w:r>
          <w:r>
            <w:instrText xml:space="preserve"> PAGEREF _Toc9095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38D18F24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_Toc27864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确认澄清</w:t>
          </w:r>
          <w:r>
            <w:tab/>
          </w:r>
          <w:r>
            <w:fldChar w:fldCharType="begin"/>
          </w:r>
          <w:r>
            <w:instrText xml:space="preserve"> PAGEREF _Toc27864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60601A19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_Toc17907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（6） 递交投标文件</w:t>
          </w:r>
          <w:r>
            <w:tab/>
          </w:r>
          <w:r>
            <w:fldChar w:fldCharType="begin"/>
          </w:r>
          <w:r>
            <w:instrText xml:space="preserve"> PAGEREF _Toc17907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39A5F322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_Toc13997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递交文件</w:t>
          </w:r>
          <w:r>
            <w:tab/>
          </w:r>
          <w:r>
            <w:fldChar w:fldCharType="begin"/>
          </w:r>
          <w:r>
            <w:instrText xml:space="preserve"> PAGEREF _Toc13997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528E5491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_Toc24276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撤回文件</w:t>
          </w:r>
          <w:r>
            <w:tab/>
          </w:r>
          <w:r>
            <w:fldChar w:fldCharType="begin"/>
          </w:r>
          <w:r>
            <w:instrText xml:space="preserve"> PAGEREF _Toc24276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 w14:paraId="675A4E46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_Toc27661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（7） 参与线上开标</w:t>
          </w:r>
          <w:r>
            <w:tab/>
          </w:r>
          <w:r>
            <w:fldChar w:fldCharType="begin"/>
          </w:r>
          <w:r>
            <w:instrText xml:space="preserve"> PAGEREF _Toc27661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fldChar w:fldCharType="end"/>
          </w:r>
        </w:p>
        <w:p w14:paraId="6AF4B694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_Toc5445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签到</w:t>
          </w:r>
          <w:r>
            <w:tab/>
          </w:r>
          <w:r>
            <w:fldChar w:fldCharType="begin"/>
          </w:r>
          <w:r>
            <w:instrText xml:space="preserve"> PAGEREF _Toc5445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fldChar w:fldCharType="end"/>
          </w:r>
        </w:p>
        <w:p w14:paraId="10648E7D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_Toc16682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开标异议</w:t>
          </w:r>
          <w:r>
            <w:tab/>
          </w:r>
          <w:r>
            <w:fldChar w:fldCharType="begin"/>
          </w:r>
          <w:r>
            <w:instrText xml:space="preserve"> PAGEREF _Toc16682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fldChar w:fldCharType="end"/>
          </w:r>
        </w:p>
        <w:p w14:paraId="59379620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_Toc14400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_Toc14400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fldChar w:fldCharType="end"/>
          </w:r>
        </w:p>
        <w:p w14:paraId="41204D48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_Toc20057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签名</w:t>
          </w:r>
          <w:r>
            <w:tab/>
          </w:r>
          <w:r>
            <w:fldChar w:fldCharType="begin"/>
          </w:r>
          <w:r>
            <w:instrText xml:space="preserve"> PAGEREF _Toc20057 \h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fldChar w:fldCharType="end"/>
          </w:r>
        </w:p>
        <w:p w14:paraId="54C59107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_Toc5870 </w:instrText>
          </w:r>
          <w:r>
            <w:fldChar w:fldCharType="separate"/>
          </w:r>
          <w:r>
            <w:rPr>
              <w:rFonts w:hint="default" w:ascii="Wingdings" w:hAnsi="Wingdings"/>
              <w:lang w:val="en-US" w:eastAsia="zh-CN"/>
            </w:rPr>
            <w:t xml:space="preserve"> </w:t>
          </w:r>
          <w:r>
            <w:rPr>
              <w:rFonts w:hint="eastAsia"/>
              <w:lang w:val="en-US" w:eastAsia="zh-CN"/>
            </w:rPr>
            <w:t>开标过程记录查看</w:t>
          </w:r>
          <w:r>
            <w:tab/>
          </w:r>
          <w:r>
            <w:fldChar w:fldCharType="begin"/>
          </w:r>
          <w:r>
            <w:instrText xml:space="preserve"> PAGEREF _Toc5870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 w14:paraId="3FC33BB8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_Toc26046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（8） 中标候选公示查看</w:t>
          </w:r>
          <w:r>
            <w:tab/>
          </w:r>
          <w:r>
            <w:fldChar w:fldCharType="begin"/>
          </w:r>
          <w:r>
            <w:instrText xml:space="preserve"> PAGEREF _Toc26046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 w14:paraId="22F481DD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_Toc25619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（9） 中标结果公告查看</w:t>
          </w:r>
          <w:r>
            <w:tab/>
          </w:r>
          <w:r>
            <w:fldChar w:fldCharType="begin"/>
          </w:r>
          <w:r>
            <w:instrText xml:space="preserve"> PAGEREF _Toc25619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 w14:paraId="3E0FA9F4"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_Toc15223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（10） 中标通知书查看</w:t>
          </w:r>
          <w:r>
            <w:tab/>
          </w:r>
          <w:r>
            <w:fldChar w:fldCharType="begin"/>
          </w:r>
          <w:r>
            <w:instrText xml:space="preserve"> PAGEREF _Toc15223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 w14:paraId="31CE209F">
          <w:r>
            <w:fldChar w:fldCharType="end"/>
          </w:r>
        </w:p>
      </w:sdtContent>
    </w:sdt>
    <w:p w14:paraId="6053E9F8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07AFAB4C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0" w:name="_Toc16998"/>
      <w:r>
        <w:rPr>
          <w:rFonts w:hint="eastAsia"/>
          <w:lang w:val="en-US" w:eastAsia="zh-CN"/>
        </w:rPr>
        <w:t>登录页面</w:t>
      </w:r>
      <w:bookmarkEnd w:id="0"/>
    </w:p>
    <w:p w14:paraId="18519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登录分为两种方式，第一种为从门户点击用户登录按钮进入直接登录页面（门户登录_图1）；第二种直接访问登录地址登录，如（密码登录_图1）。</w:t>
      </w:r>
    </w:p>
    <w:p w14:paraId="16E7D68E">
      <w:pPr>
        <w:pStyle w:val="3"/>
        <w:numPr>
          <w:ilvl w:val="1"/>
          <w:numId w:val="2"/>
        </w:numPr>
        <w:bidi w:val="0"/>
        <w:rPr>
          <w:rFonts w:hint="eastAsia"/>
          <w:lang w:val="en-US" w:eastAsia="zh-CN"/>
        </w:rPr>
      </w:pPr>
      <w:bookmarkStart w:id="1" w:name="_Toc23148"/>
      <w:bookmarkStart w:id="2" w:name="_Toc18581"/>
      <w:r>
        <w:rPr>
          <w:rFonts w:hint="eastAsia"/>
          <w:lang w:val="en-US" w:eastAsia="zh-CN"/>
        </w:rPr>
        <w:t>门户登录</w:t>
      </w:r>
      <w:bookmarkEnd w:id="1"/>
      <w:bookmarkEnd w:id="2"/>
    </w:p>
    <w:p w14:paraId="3301CC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供应商打开浏览器，在地址导航栏输入地址</w:t>
      </w:r>
    </w:p>
    <w:p w14:paraId="3D04C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instrText xml:space="preserve"> HYPERLINK "https://www.cfet.com.cn" </w:instrTex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fldChar w:fldCharType="separate"/>
      </w:r>
      <w:r>
        <w:rPr>
          <w:rStyle w:val="13"/>
          <w:rFonts w:hint="eastAsia" w:ascii="仿宋" w:hAnsi="仿宋" w:eastAsia="仿宋" w:cs="仿宋"/>
          <w:sz w:val="24"/>
          <w:szCs w:val="24"/>
          <w:lang w:val="en-US" w:eastAsia="zh-CN"/>
        </w:rPr>
        <w:t>https://www.cfet.com.cn</w: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fldChar w:fldCharType="end"/>
      </w:r>
      <w:r>
        <w:rPr>
          <w:rFonts w:hint="eastAsia"/>
          <w:sz w:val="24"/>
          <w:szCs w:val="24"/>
          <w:lang w:val="en-US" w:eastAsia="zh-CN"/>
        </w:rPr>
        <w:t>打开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CETC</w:t>
      </w:r>
      <w:r>
        <w:rPr>
          <w:rFonts w:hint="eastAsia"/>
          <w:sz w:val="24"/>
          <w:szCs w:val="24"/>
          <w:lang w:val="en-US" w:eastAsia="zh-CN"/>
        </w:rPr>
        <w:t>电科招采门户网站，如（门户登录_图1”）</w:t>
      </w:r>
    </w:p>
    <w:p w14:paraId="7872F876"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141980" cy="8192135"/>
            <wp:effectExtent l="0" t="0" r="1270" b="8890"/>
            <wp:docPr id="2" name="图片 2" descr="CETC电科招采门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ETC电科招采门户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1980" cy="819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2AC32">
      <w:pPr>
        <w:spacing w:line="360" w:lineRule="auto"/>
        <w:jc w:val="center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门户登录_图1</w:t>
      </w:r>
    </w:p>
    <w:p w14:paraId="5A68B956">
      <w:pPr>
        <w:pStyle w:val="3"/>
        <w:numPr>
          <w:ilvl w:val="1"/>
          <w:numId w:val="2"/>
        </w:numPr>
        <w:bidi w:val="0"/>
        <w:rPr>
          <w:rFonts w:hint="eastAsia"/>
          <w:lang w:val="en-US" w:eastAsia="zh-CN"/>
        </w:rPr>
      </w:pPr>
      <w:bookmarkStart w:id="3" w:name="_Toc1183"/>
      <w:bookmarkStart w:id="4" w:name="_Toc29720"/>
      <w:r>
        <w:rPr>
          <w:rFonts w:hint="eastAsia"/>
          <w:lang w:val="en-US" w:eastAsia="zh-CN"/>
        </w:rPr>
        <w:t>直接登录</w:t>
      </w:r>
      <w:bookmarkEnd w:id="3"/>
      <w:bookmarkEnd w:id="4"/>
    </w:p>
    <w:p w14:paraId="3A425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供应商打开浏览器，在地址导航栏输入地址</w:t>
      </w:r>
    </w:p>
    <w:p w14:paraId="3B12B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instrText xml:space="preserve"> HYPERLINK "https://www.cfet.com.cn/ebidding/" \l "/login" </w:instrTex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fldChar w:fldCharType="separate"/>
      </w:r>
      <w:r>
        <w:rPr>
          <w:rStyle w:val="13"/>
          <w:rFonts w:hint="eastAsia" w:asciiTheme="minorEastAsia" w:hAnsiTheme="minorEastAsia"/>
          <w:sz w:val="24"/>
          <w:szCs w:val="24"/>
          <w:lang w:val="en-US" w:eastAsia="zh-CN"/>
        </w:rPr>
        <w:t>https://www.cfet.com.cn/ebidding/#/login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打开远东招标电子采购平台网站</w:t>
      </w:r>
      <w:r>
        <w:rPr>
          <w:rFonts w:hint="eastAsia"/>
          <w:sz w:val="24"/>
          <w:szCs w:val="24"/>
          <w:lang w:val="en-US" w:eastAsia="zh-CN"/>
        </w:rPr>
        <w:t>，如（密码登录_图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  <w:lang w:val="en-US" w:eastAsia="zh-CN"/>
        </w:rPr>
        <w:t>）。</w:t>
      </w:r>
    </w:p>
    <w:p w14:paraId="30BE8063">
      <w:pPr>
        <w:jc w:val="center"/>
      </w:pPr>
      <w:r>
        <w:drawing>
          <wp:inline distT="0" distB="0" distL="114300" distR="114300">
            <wp:extent cx="5269230" cy="2567305"/>
            <wp:effectExtent l="0" t="0" r="7620" b="4445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6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BF36B">
      <w:pPr>
        <w:spacing w:line="360" w:lineRule="auto"/>
        <w:ind w:firstLine="480" w:firstLineChars="200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密码登录_图1</w:t>
      </w:r>
    </w:p>
    <w:p w14:paraId="11F1B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根据需要选择不同的登录方式，点击登录后进入平台。</w:t>
      </w:r>
    </w:p>
    <w:p w14:paraId="55B9AE97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5" w:name="_Toc10508"/>
      <w:r>
        <w:rPr>
          <w:rFonts w:hint="eastAsia"/>
          <w:lang w:val="en-US" w:eastAsia="zh-CN"/>
        </w:rPr>
        <w:t>首页</w:t>
      </w:r>
      <w:bookmarkEnd w:id="5"/>
    </w:p>
    <w:p w14:paraId="245031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用户在首页可查看待办任务、我的日程，通知公告、常用文件等，</w:t>
      </w:r>
      <w:r>
        <w:rPr>
          <w:rFonts w:hint="eastAsia"/>
          <w:sz w:val="24"/>
          <w:szCs w:val="24"/>
          <w:lang w:val="en-US" w:eastAsia="zh-CN"/>
        </w:rPr>
        <w:t>如（首页_图1）。</w:t>
      </w:r>
    </w:p>
    <w:p w14:paraId="3EFC05C7">
      <w:r>
        <w:drawing>
          <wp:inline distT="0" distB="0" distL="114300" distR="114300">
            <wp:extent cx="5267960" cy="2890520"/>
            <wp:effectExtent l="0" t="0" r="8890" b="508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11139">
      <w:p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首页_图1</w:t>
      </w:r>
    </w:p>
    <w:p w14:paraId="2718AB47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6" w:name="_Toc20135"/>
      <w:r>
        <w:rPr>
          <w:rFonts w:hint="eastAsia"/>
          <w:lang w:val="en-US" w:eastAsia="zh-CN"/>
        </w:rPr>
        <w:t>CA绑定</w:t>
      </w:r>
      <w:bookmarkEnd w:id="6"/>
    </w:p>
    <w:p w14:paraId="0953BB5D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7" w:name="_Toc4004"/>
      <w:r>
        <w:rPr>
          <w:rFonts w:hint="eastAsia"/>
          <w:lang w:val="en-US" w:eastAsia="zh-CN"/>
        </w:rPr>
        <w:t>CA绑定</w:t>
      </w:r>
      <w:bookmarkEnd w:id="7"/>
    </w:p>
    <w:p w14:paraId="2410C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网上开标项目，投标人在递交投标文件之前需要先绑定CA，，点击【系统管理】-【证书管理】-【CA绑定】，如（CA绑定图_1）</w:t>
      </w:r>
    </w:p>
    <w:p w14:paraId="5CD89E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drawing>
          <wp:inline distT="0" distB="0" distL="114300" distR="114300">
            <wp:extent cx="5273040" cy="1067435"/>
            <wp:effectExtent l="0" t="0" r="3810" b="889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C2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CA绑定图_1</w:t>
      </w:r>
    </w:p>
    <w:p w14:paraId="458EBB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计算机插入CA，下载所需驱动，点击【CA绑定】，弹出CA绑定页面，如（CA绑定图_2）。</w:t>
      </w:r>
    </w:p>
    <w:p w14:paraId="4AA9A920">
      <w:pPr>
        <w:jc w:val="center"/>
      </w:pPr>
      <w:r>
        <w:drawing>
          <wp:inline distT="0" distB="0" distL="114300" distR="114300">
            <wp:extent cx="5273040" cy="1713865"/>
            <wp:effectExtent l="0" t="0" r="3810" b="63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86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CA绑定图_2</w:t>
      </w:r>
    </w:p>
    <w:p w14:paraId="612F2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选择CA类型，输入CA密码，点击登录，页面提示CA证书基本信息，点击绑定后，CA绑定成功，如（CA绑定图_3）</w:t>
      </w:r>
    </w:p>
    <w:p w14:paraId="37503FDF">
      <w:pPr>
        <w:jc w:val="center"/>
      </w:pPr>
      <w:r>
        <w:drawing>
          <wp:inline distT="0" distB="0" distL="114300" distR="114300">
            <wp:extent cx="5269230" cy="1061720"/>
            <wp:effectExtent l="0" t="0" r="7620" b="508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9D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CA绑定图_3</w:t>
      </w:r>
    </w:p>
    <w:p w14:paraId="309AB419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default"/>
          <w:lang w:val="en-US" w:eastAsia="zh-CN"/>
        </w:rPr>
      </w:pPr>
      <w:bookmarkStart w:id="8" w:name="_Toc31156"/>
      <w:r>
        <w:rPr>
          <w:rFonts w:hint="eastAsia"/>
          <w:lang w:val="en-US" w:eastAsia="zh-CN"/>
        </w:rPr>
        <w:t>解除绑定</w:t>
      </w:r>
      <w:bookmarkEnd w:id="8"/>
    </w:p>
    <w:p w14:paraId="63ECF9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CA绑定成功后，点击解除绑定，CA解绑成功。如（解除绑定图_1）</w:t>
      </w:r>
    </w:p>
    <w:p w14:paraId="540AA86B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1018540"/>
            <wp:effectExtent l="0" t="0" r="3810" b="635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6E6E3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9" w:name="_Toc11553"/>
      <w:r>
        <w:rPr>
          <w:rFonts w:hint="eastAsia"/>
          <w:lang w:val="en-US" w:eastAsia="zh-CN"/>
        </w:rPr>
        <w:t>采购执行</w:t>
      </w:r>
      <w:bookmarkEnd w:id="9"/>
    </w:p>
    <w:p w14:paraId="482697C2">
      <w:pPr>
        <w:pStyle w:val="3"/>
        <w:numPr>
          <w:ilvl w:val="1"/>
          <w:numId w:val="1"/>
        </w:numPr>
        <w:bidi w:val="0"/>
        <w:rPr>
          <w:rFonts w:hint="eastAsia"/>
          <w:lang w:val="en-US" w:eastAsia="zh-CN"/>
        </w:rPr>
      </w:pPr>
      <w:bookmarkStart w:id="10" w:name="_Toc5107"/>
      <w:r>
        <w:rPr>
          <w:rFonts w:hint="eastAsia"/>
          <w:lang w:val="en-US" w:eastAsia="zh-CN"/>
        </w:rPr>
        <w:t>我的项目</w:t>
      </w:r>
      <w:bookmarkEnd w:id="10"/>
    </w:p>
    <w:p w14:paraId="5BFF83DE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11" w:name="_Toc6750"/>
      <w:r>
        <w:rPr>
          <w:rFonts w:hint="eastAsia"/>
          <w:lang w:val="en-US" w:eastAsia="zh-CN"/>
        </w:rPr>
        <w:t>报名</w:t>
      </w:r>
      <w:bookmarkEnd w:id="11"/>
    </w:p>
    <w:p w14:paraId="62141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供应商登录系统后，通过【采购执行】-【采购项目】-【我的项目】-【我要参与】进入可参与项目列表，如（我要参与_图1）。</w:t>
      </w:r>
    </w:p>
    <w:p w14:paraId="6E817F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2858770"/>
            <wp:effectExtent l="0" t="0" r="8255" b="825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6852C">
      <w:p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我要参与_图1</w:t>
      </w:r>
    </w:p>
    <w:p w14:paraId="74CDD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点击【立即参与】-【确定】，跳转到我的项目页面，如（我的项目_图2）；查看公告可查看当前项目公告。</w:t>
      </w:r>
    </w:p>
    <w:p w14:paraId="6EA453F5"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71135" cy="1661795"/>
            <wp:effectExtent l="0" t="0" r="5715" b="508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11E16">
      <w:p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我的项目_图2</w:t>
      </w:r>
    </w:p>
    <w:p w14:paraId="30040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点击【报名】，进入报名页面，如（报名_图3）；</w:t>
      </w:r>
    </w:p>
    <w:p w14:paraId="1688B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点击【项目工作台】，可进入项目工作台。</w:t>
      </w:r>
    </w:p>
    <w:p w14:paraId="64DD7C7F"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73040" cy="3021330"/>
            <wp:effectExtent l="0" t="0" r="3810" b="762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2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145665"/>
            <wp:effectExtent l="0" t="0" r="3810" b="698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28B07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报名_图3</w:t>
      </w:r>
    </w:p>
    <w:p w14:paraId="374C6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根据页面提示填写所需信息，上传所需文件，提交后生效。</w:t>
      </w:r>
    </w:p>
    <w:p w14:paraId="3C6EAFB7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default"/>
          <w:lang w:val="en-US" w:eastAsia="zh-CN"/>
        </w:rPr>
      </w:pPr>
      <w:bookmarkStart w:id="12" w:name="_Toc23527"/>
      <w:r>
        <w:rPr>
          <w:rFonts w:hint="eastAsia"/>
          <w:lang w:val="en-US" w:eastAsia="zh-CN"/>
        </w:rPr>
        <w:t>邀请回执</w:t>
      </w:r>
      <w:bookmarkEnd w:id="12"/>
    </w:p>
    <w:p w14:paraId="4C8ADD69"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  <w:lang w:val="en-US" w:eastAsia="zh-CN"/>
        </w:rPr>
        <w:t>注：邀请项目，投标人需要对投标邀请做反馈。</w:t>
      </w:r>
    </w:p>
    <w:p w14:paraId="44CFF6F7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13" w:name="_Toc18595"/>
      <w:r>
        <w:rPr>
          <w:rFonts w:hint="eastAsia"/>
          <w:lang w:val="en-US" w:eastAsia="zh-CN"/>
        </w:rPr>
        <w:t>待办事项</w:t>
      </w:r>
      <w:bookmarkEnd w:id="13"/>
    </w:p>
    <w:p w14:paraId="1FBC4A53">
      <w:r>
        <w:drawing>
          <wp:inline distT="0" distB="0" distL="114300" distR="114300">
            <wp:extent cx="5273675" cy="2835910"/>
            <wp:effectExtent l="0" t="0" r="3175" b="254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3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EE819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邀请待回执待办_图1</w:t>
      </w:r>
    </w:p>
    <w:p w14:paraId="25952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项目经理发出邀请书之后，投标人收到邀请待回执的事项，点击该事项，进行邀请确认。</w:t>
      </w:r>
    </w:p>
    <w:p w14:paraId="7B686653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14" w:name="_Toc8024"/>
      <w:r>
        <w:rPr>
          <w:rFonts w:hint="eastAsia"/>
          <w:lang w:val="en-US" w:eastAsia="zh-CN"/>
        </w:rPr>
        <w:t>我的项目</w:t>
      </w:r>
      <w:bookmarkEnd w:id="14"/>
    </w:p>
    <w:p w14:paraId="48B471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投标人通过【采购执行】-【我的项目】进入如（我的项目_图1）。</w:t>
      </w:r>
    </w:p>
    <w:p w14:paraId="72D509FE">
      <w:r>
        <w:drawing>
          <wp:inline distT="0" distB="0" distL="114300" distR="114300">
            <wp:extent cx="5268595" cy="2889885"/>
            <wp:effectExtent l="0" t="0" r="8255" b="5715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8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CC07A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我的项目_图1</w:t>
      </w:r>
    </w:p>
    <w:p w14:paraId="7283B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点击【邀请回执】，进入邀请回执确认页面，如（邀请回执确认_图1）。</w:t>
      </w:r>
    </w:p>
    <w:p w14:paraId="016981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675" cy="3147060"/>
            <wp:effectExtent l="0" t="0" r="3175" b="571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62577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邀请回执确认_图1</w:t>
      </w:r>
    </w:p>
    <w:p w14:paraId="73D1D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邀请回执信息发送至项目经理</w:t>
      </w:r>
      <w:r>
        <w:rPr>
          <w:rFonts w:hint="eastAsia"/>
          <w:sz w:val="24"/>
          <w:szCs w:val="24"/>
          <w:lang w:val="en-US" w:eastAsia="zh-CN"/>
        </w:rPr>
        <w:t>。确认是否参加后，根据页面提示填写信息，上传文件，点击发送完成回执。</w:t>
      </w:r>
    </w:p>
    <w:p w14:paraId="03D420C5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15" w:name="_Toc29101"/>
      <w:r>
        <w:rPr>
          <w:rFonts w:hint="eastAsia"/>
          <w:lang w:val="en-US" w:eastAsia="zh-CN"/>
        </w:rPr>
        <w:t>购买文件</w:t>
      </w:r>
      <w:bookmarkEnd w:id="15"/>
    </w:p>
    <w:p w14:paraId="6C6043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投标人/供应商通过点击【采购执行】-【我的项目】-【我的项目】，进入已经参与的项目查询页面，如（购买文件_图1）。</w:t>
      </w:r>
    </w:p>
    <w:p w14:paraId="7598D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71470"/>
            <wp:effectExtent l="0" t="0" r="635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FF01B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购买文件_图1</w:t>
      </w:r>
    </w:p>
    <w:p w14:paraId="555D64FA"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点击【购买文件】，弹出发票信息弹框，如（图发票信息_图1）。</w:t>
      </w:r>
    </w:p>
    <w:p w14:paraId="04492E2A">
      <w:pPr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4446905" cy="2814955"/>
            <wp:effectExtent l="0" t="0" r="1270" b="444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22"/>
                    <a:srcRect r="1012" b="1868"/>
                    <a:stretch>
                      <a:fillRect/>
                    </a:stretch>
                  </pic:blipFill>
                  <pic:spPr>
                    <a:xfrm>
                      <a:off x="0" y="0"/>
                      <a:ext cx="4446905" cy="281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9FAF5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发票信息_图1</w:t>
      </w:r>
    </w:p>
    <w:p w14:paraId="30BD48C5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16" w:name="_Toc12229"/>
      <w:r>
        <w:rPr>
          <w:rFonts w:hint="eastAsia"/>
          <w:lang w:val="en-US" w:eastAsia="zh-CN"/>
        </w:rPr>
        <w:t>线上支付</w:t>
      </w:r>
      <w:bookmarkEnd w:id="16"/>
    </w:p>
    <w:p w14:paraId="2A08682B">
      <w:r>
        <w:drawing>
          <wp:inline distT="0" distB="0" distL="114300" distR="114300">
            <wp:extent cx="5271135" cy="2588895"/>
            <wp:effectExtent l="0" t="0" r="5715" b="190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79B54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供应商进入购标页面，选择“线上支付”，点击提交订单，进入</w:t>
      </w:r>
    </w:p>
    <w:p w14:paraId="099B8FF2">
      <w:pPr>
        <w:rPr>
          <w:rFonts w:hint="default"/>
          <w:lang w:val="en-US" w:eastAsia="zh-CN"/>
        </w:rPr>
      </w:pPr>
    </w:p>
    <w:p w14:paraId="7D5BF857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17" w:name="_Toc27882"/>
      <w:r>
        <w:rPr>
          <w:rFonts w:hint="eastAsia"/>
          <w:lang w:val="en-US" w:eastAsia="zh-CN"/>
        </w:rPr>
        <w:t>线下支付</w:t>
      </w:r>
      <w:bookmarkEnd w:id="17"/>
    </w:p>
    <w:p w14:paraId="091135B0"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维护完成发票信息后，进入订单信息维护页面，如（填写购标信息_图1）。</w:t>
      </w:r>
    </w:p>
    <w:p w14:paraId="44149538">
      <w:pPr>
        <w:numPr>
          <w:ilvl w:val="0"/>
          <w:numId w:val="0"/>
        </w:numPr>
        <w:spacing w:line="360" w:lineRule="auto"/>
        <w:jc w:val="both"/>
      </w:pPr>
      <w:r>
        <w:drawing>
          <wp:inline distT="0" distB="0" distL="114300" distR="114300">
            <wp:extent cx="5270500" cy="3215640"/>
            <wp:effectExtent l="0" t="0" r="6350" b="381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497205"/>
            <wp:effectExtent l="0" t="0" r="0" b="762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1411605"/>
            <wp:effectExtent l="0" t="0" r="4445" b="7620"/>
            <wp:docPr id="2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DC435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填写购标信息_图1</w:t>
      </w:r>
    </w:p>
    <w:p w14:paraId="6BCEE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选择支付方式后，按照页面提示填写信息，填写完成后，提交订单，等待项目经理复核完成后，可进行文件下载操作。</w:t>
      </w:r>
    </w:p>
    <w:p w14:paraId="5AEC7CF9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18" w:name="_Toc19231"/>
      <w:r>
        <w:rPr>
          <w:rFonts w:hint="eastAsia"/>
          <w:lang w:val="en-US" w:eastAsia="zh-CN"/>
        </w:rPr>
        <w:t>文件下载</w:t>
      </w:r>
      <w:bookmarkEnd w:id="18"/>
    </w:p>
    <w:p w14:paraId="12253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线下支付项目经理进行订单复核通过之后显示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【文件下载】按钮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，线上支付成功则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显示【文件下载】按钮，供应商/投标人通过【采购执行】-【采购项目】-【我的项目】进入项目列表，如（文件下载_图1）。</w:t>
      </w:r>
    </w:p>
    <w:p w14:paraId="5EB85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675" cy="2884170"/>
            <wp:effectExtent l="0" t="0" r="3175" b="19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B9A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文件下载_图1</w:t>
      </w:r>
    </w:p>
    <w:p w14:paraId="5CBB84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点击【文件下载】</w:t>
      </w:r>
      <w:r>
        <w:rPr>
          <w:rFonts w:hint="eastAsia"/>
          <w:sz w:val="24"/>
          <w:szCs w:val="24"/>
          <w:lang w:val="en-US" w:eastAsia="zh-CN"/>
        </w:rPr>
        <w:t>，可</w:t>
      </w:r>
      <w:r>
        <w:rPr>
          <w:rFonts w:hint="default"/>
          <w:sz w:val="24"/>
          <w:szCs w:val="24"/>
          <w:lang w:val="en-US" w:eastAsia="zh-CN"/>
        </w:rPr>
        <w:t>下载招标或</w:t>
      </w:r>
      <w:r>
        <w:rPr>
          <w:rFonts w:hint="eastAsia"/>
          <w:sz w:val="24"/>
          <w:szCs w:val="24"/>
          <w:lang w:val="en-US" w:eastAsia="zh-CN"/>
        </w:rPr>
        <w:t>采购</w:t>
      </w:r>
      <w:r>
        <w:rPr>
          <w:rFonts w:hint="default"/>
          <w:sz w:val="24"/>
          <w:szCs w:val="24"/>
          <w:lang w:val="en-US" w:eastAsia="zh-CN"/>
        </w:rPr>
        <w:t>文件</w:t>
      </w:r>
      <w:r>
        <w:rPr>
          <w:rFonts w:hint="eastAsia"/>
          <w:sz w:val="24"/>
          <w:szCs w:val="24"/>
          <w:lang w:val="en-US" w:eastAsia="zh-CN"/>
        </w:rPr>
        <w:t>至本地。</w:t>
      </w:r>
    </w:p>
    <w:p w14:paraId="59986AEF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19" w:name="_Toc15298"/>
      <w:r>
        <w:rPr>
          <w:rFonts w:hint="eastAsia"/>
          <w:lang w:val="en-US" w:eastAsia="zh-CN"/>
        </w:rPr>
        <w:t>招标文件澄清（可选）</w:t>
      </w:r>
      <w:bookmarkEnd w:id="19"/>
    </w:p>
    <w:p w14:paraId="78A98019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20" w:name="_Toc9095"/>
      <w:r>
        <w:rPr>
          <w:rFonts w:hint="eastAsia"/>
          <w:lang w:val="en-US" w:eastAsia="zh-CN"/>
        </w:rPr>
        <w:t>提出问题</w:t>
      </w:r>
      <w:bookmarkEnd w:id="20"/>
    </w:p>
    <w:p w14:paraId="561C02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供应商进入【项目工作台】，点击【招标文件澄清】，如（文件澄清图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_1）</w:t>
      </w:r>
      <w:r>
        <w:rPr>
          <w:rFonts w:hint="eastAsia"/>
          <w:sz w:val="24"/>
          <w:szCs w:val="24"/>
          <w:lang w:val="en-US" w:eastAsia="zh-CN"/>
        </w:rPr>
        <w:t>，点击【提出问题】进入（文件澄清图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_2）</w:t>
      </w:r>
      <w:r>
        <w:rPr>
          <w:rFonts w:hint="eastAsia" w:ascii="仿宋" w:hAnsi="仿宋" w:cs="仿宋"/>
          <w:sz w:val="24"/>
          <w:szCs w:val="24"/>
          <w:lang w:val="en-US" w:eastAsia="zh-CN"/>
        </w:rPr>
        <w:t>。</w:t>
      </w:r>
    </w:p>
    <w:p w14:paraId="37218422">
      <w:r>
        <w:drawing>
          <wp:inline distT="0" distB="0" distL="114300" distR="114300">
            <wp:extent cx="5272405" cy="1638300"/>
            <wp:effectExtent l="0" t="0" r="4445" b="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9919C"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文件澄清图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_1</w:t>
      </w:r>
    </w:p>
    <w:p w14:paraId="347A1C10">
      <w:r>
        <w:drawing>
          <wp:inline distT="0" distB="0" distL="114300" distR="114300">
            <wp:extent cx="5270500" cy="2102485"/>
            <wp:effectExtent l="0" t="0" r="6350" b="254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B8EF4">
      <w:pPr>
        <w:jc w:val="center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文件澄清图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</w:t>
      </w:r>
      <w:r>
        <w:rPr>
          <w:rFonts w:hint="eastAsia" w:ascii="仿宋" w:hAnsi="仿宋" w:cs="仿宋"/>
          <w:sz w:val="24"/>
          <w:szCs w:val="24"/>
          <w:lang w:val="en-US" w:eastAsia="zh-CN"/>
        </w:rPr>
        <w:t>2</w:t>
      </w:r>
    </w:p>
    <w:p w14:paraId="3C306E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供应商填写澄清问题标题、内容，上传附件后，提交完成。</w:t>
      </w:r>
    </w:p>
    <w:p w14:paraId="350F0542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bookmarkStart w:id="21" w:name="_Toc27864"/>
      <w:r>
        <w:rPr>
          <w:rFonts w:hint="eastAsia"/>
          <w:lang w:val="en-US" w:eastAsia="zh-CN"/>
        </w:rPr>
        <w:t>确认澄清</w:t>
      </w:r>
      <w:bookmarkEnd w:id="21"/>
    </w:p>
    <w:p w14:paraId="63F0B9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</w:pPr>
      <w:r>
        <w:drawing>
          <wp:inline distT="0" distB="0" distL="114300" distR="114300">
            <wp:extent cx="5270500" cy="1642110"/>
            <wp:effectExtent l="0" t="0" r="6350" b="5715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B48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确认澄清图</w:t>
      </w:r>
      <w:r>
        <w:rPr>
          <w:rFonts w:hint="eastAsia" w:ascii="仿宋" w:hAnsi="仿宋" w:eastAsia="仿宋" w:cs="仿宋"/>
          <w:lang w:val="en-US" w:eastAsia="zh-CN"/>
        </w:rPr>
        <w:t>_1</w:t>
      </w:r>
    </w:p>
    <w:p w14:paraId="352305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项目经理澄清发出后，供应商点击【确认】按钮，上传【澄清回执文件】，如（确认澄清图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_2）</w:t>
      </w:r>
      <w:r>
        <w:rPr>
          <w:rFonts w:hint="eastAsia" w:ascii="仿宋" w:hAnsi="仿宋" w:cs="仿宋"/>
          <w:sz w:val="24"/>
          <w:szCs w:val="24"/>
          <w:lang w:val="en-US" w:eastAsia="zh-CN"/>
        </w:rPr>
        <w:t>。</w:t>
      </w:r>
    </w:p>
    <w:p w14:paraId="757937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</w:pPr>
      <w:r>
        <w:drawing>
          <wp:inline distT="0" distB="0" distL="114300" distR="114300">
            <wp:extent cx="5271135" cy="2221230"/>
            <wp:effectExtent l="0" t="0" r="5715" b="762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AF7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确认澄清图</w:t>
      </w:r>
      <w:r>
        <w:rPr>
          <w:rFonts w:hint="eastAsia" w:ascii="仿宋" w:hAnsi="仿宋" w:eastAsia="仿宋" w:cs="仿宋"/>
          <w:lang w:val="en-US" w:eastAsia="zh-CN"/>
        </w:rPr>
        <w:t>_</w:t>
      </w:r>
      <w:r>
        <w:rPr>
          <w:rFonts w:hint="eastAsia" w:ascii="仿宋" w:hAnsi="仿宋" w:cs="仿宋"/>
          <w:lang w:val="en-US" w:eastAsia="zh-CN"/>
        </w:rPr>
        <w:t>2</w:t>
      </w:r>
    </w:p>
    <w:p w14:paraId="7AFB82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供应商上传【澄清回执文件】，点击确认-查看，可查看项目经理发出的澄清内容，如（确认澄清图_3，确认澄清图_4）。</w:t>
      </w:r>
    </w:p>
    <w:p w14:paraId="7B9D6B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</w:pPr>
      <w:r>
        <w:drawing>
          <wp:inline distT="0" distB="0" distL="114300" distR="114300">
            <wp:extent cx="5269230" cy="1567815"/>
            <wp:effectExtent l="0" t="0" r="7620" b="3810"/>
            <wp:docPr id="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D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确认澄清图_3</w:t>
      </w:r>
    </w:p>
    <w:p w14:paraId="5DA5BE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</w:pPr>
      <w:r>
        <w:drawing>
          <wp:inline distT="0" distB="0" distL="114300" distR="114300">
            <wp:extent cx="5266055" cy="2763520"/>
            <wp:effectExtent l="0" t="0" r="1270" b="8255"/>
            <wp:docPr id="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153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确认澄清图_4</w:t>
      </w:r>
    </w:p>
    <w:p w14:paraId="35BDAEE6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22" w:name="_Toc17907"/>
      <w:r>
        <w:rPr>
          <w:rFonts w:hint="eastAsia"/>
          <w:lang w:val="en-US" w:eastAsia="zh-CN"/>
        </w:rPr>
        <w:t>递交投标文件</w:t>
      </w:r>
      <w:bookmarkEnd w:id="22"/>
    </w:p>
    <w:p w14:paraId="7A9FADB6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bookmarkStart w:id="23" w:name="_Toc13997"/>
      <w:r>
        <w:rPr>
          <w:rFonts w:hint="eastAsia"/>
          <w:lang w:val="en-US" w:eastAsia="zh-CN"/>
        </w:rPr>
        <w:t>递交文件</w:t>
      </w:r>
      <w:bookmarkEnd w:id="23"/>
    </w:p>
    <w:p w14:paraId="5171F8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供应商投标文件编制完成且CA绑定完成之后，即可递交投标文件，点击项目工作台的【递交投标文件】按钮进入如（递交文件图_1）：</w:t>
      </w:r>
    </w:p>
    <w:p w14:paraId="635C25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</w:pPr>
      <w:r>
        <w:drawing>
          <wp:inline distT="0" distB="0" distL="114300" distR="114300">
            <wp:extent cx="5274310" cy="2598420"/>
            <wp:effectExtent l="0" t="0" r="2540" b="1905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0A8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递交文件图_1</w:t>
      </w:r>
    </w:p>
    <w:p w14:paraId="421373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投标信息栏，对于递交状态、递交截止时间、截止时间倒计时等信息显示，递交截止时间到，将不允许递交投标文件；</w:t>
      </w:r>
    </w:p>
    <w:p w14:paraId="35883C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开标参与信息栏，自动带出开标参与人姓名、开标参与人手机默认带出，可修改；</w:t>
      </w:r>
    </w:p>
    <w:p w14:paraId="101763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上传商务、技术、价格文件（投标客户端编制完成的投标文件），上传完成后点击递交投标文件按钮，弹出CA登录页面，输入CA类型及密码，点击登录进行CA验证，验证成功后-确认递交，投标文件递交至项目经理；</w:t>
      </w:r>
    </w:p>
    <w:p w14:paraId="433C8F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投标人成功递交投标文件后，页面显示如（撤回文件图_1）。</w:t>
      </w:r>
    </w:p>
    <w:p w14:paraId="32005295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24" w:name="_Toc24276"/>
      <w:r>
        <w:rPr>
          <w:rFonts w:hint="eastAsia"/>
          <w:lang w:val="en-US" w:eastAsia="zh-CN"/>
        </w:rPr>
        <w:t>撤回文件</w:t>
      </w:r>
      <w:bookmarkEnd w:id="24"/>
    </w:p>
    <w:p w14:paraId="24FB09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供应商递交投标文件成功后，在开标之前可点击【撤回投标文件】，撤回已递交的投标文件，如（撤回文件图_1）</w:t>
      </w:r>
    </w:p>
    <w:p w14:paraId="4096A319">
      <w:r>
        <w:drawing>
          <wp:inline distT="0" distB="0" distL="114300" distR="114300">
            <wp:extent cx="5264150" cy="2748280"/>
            <wp:effectExtent l="0" t="0" r="3175" b="4445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401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撤回文件图_1</w:t>
      </w:r>
    </w:p>
    <w:p w14:paraId="4CF01E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点击撤回文件，验证CA密码，验证通过后，可撤回投标文件，开标时间截止之前可再次递交投标文件。</w:t>
      </w:r>
    </w:p>
    <w:p w14:paraId="266E83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</w:pPr>
      <w:r>
        <w:drawing>
          <wp:inline distT="0" distB="0" distL="114300" distR="114300">
            <wp:extent cx="5270500" cy="1746885"/>
            <wp:effectExtent l="0" t="0" r="6350" b="5715"/>
            <wp:docPr id="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FA3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撤回文件图_2</w:t>
      </w:r>
    </w:p>
    <w:p w14:paraId="0CFD13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点击【回执查看】，弹出回执文件查看弹框，供应商可下载、预览回执文件。</w:t>
      </w:r>
    </w:p>
    <w:p w14:paraId="5D1ECBC9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default"/>
          <w:lang w:val="en-US" w:eastAsia="zh-CN"/>
        </w:rPr>
      </w:pPr>
      <w:bookmarkStart w:id="25" w:name="_Toc27661"/>
      <w:r>
        <w:rPr>
          <w:rFonts w:hint="eastAsia"/>
          <w:lang w:val="en-US" w:eastAsia="zh-CN"/>
        </w:rPr>
        <w:t>参与线上开标</w:t>
      </w:r>
      <w:bookmarkEnd w:id="25"/>
    </w:p>
    <w:p w14:paraId="50D6DA7C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26" w:name="_Toc5445"/>
      <w:r>
        <w:rPr>
          <w:rFonts w:hint="eastAsia"/>
          <w:lang w:val="en-US" w:eastAsia="zh-CN"/>
        </w:rPr>
        <w:t>签到</w:t>
      </w:r>
      <w:bookmarkEnd w:id="26"/>
    </w:p>
    <w:p w14:paraId="1752D7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供应商进入开标大厅有三种方式，分别是首页点击待办点击进入和首页快捷入口点击进入（签到图_1）、项目工作台点击（签到图_2）</w:t>
      </w:r>
    </w:p>
    <w:p w14:paraId="7E198A74">
      <w:pPr>
        <w:spacing w:line="360" w:lineRule="auto"/>
      </w:pPr>
      <w:r>
        <w:drawing>
          <wp:inline distT="0" distB="0" distL="114300" distR="114300">
            <wp:extent cx="5082540" cy="2743200"/>
            <wp:effectExtent l="0" t="0" r="3810" b="0"/>
            <wp:docPr id="3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7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08254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BD4B9">
      <w:pPr>
        <w:spacing w:line="360" w:lineRule="auto"/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/>
          <w:lang w:val="en-US" w:eastAsia="zh-CN"/>
        </w:rPr>
        <w:t>签到图</w:t>
      </w:r>
      <w:r>
        <w:rPr>
          <w:rFonts w:hint="eastAsia" w:ascii="仿宋" w:hAnsi="仿宋" w:eastAsia="仿宋" w:cs="仿宋"/>
          <w:lang w:val="en-US" w:eastAsia="zh-CN"/>
        </w:rPr>
        <w:t>_1</w:t>
      </w:r>
    </w:p>
    <w:p w14:paraId="60993D1C">
      <w:pPr>
        <w:spacing w:line="360" w:lineRule="auto"/>
        <w:jc w:val="center"/>
      </w:pPr>
      <w:r>
        <w:drawing>
          <wp:inline distT="0" distB="0" distL="114300" distR="114300">
            <wp:extent cx="5033645" cy="2547620"/>
            <wp:effectExtent l="0" t="0" r="5080" b="5080"/>
            <wp:docPr id="3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916AB">
      <w:pPr>
        <w:spacing w:line="360" w:lineRule="auto"/>
        <w:jc w:val="center"/>
      </w:pPr>
      <w:r>
        <w:drawing>
          <wp:inline distT="0" distB="0" distL="114300" distR="114300">
            <wp:extent cx="5140960" cy="2533015"/>
            <wp:effectExtent l="0" t="0" r="2540" b="635"/>
            <wp:docPr id="3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9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253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09859">
      <w:pPr>
        <w:spacing w:line="360" w:lineRule="auto"/>
        <w:jc w:val="center"/>
        <w:rPr>
          <w:rFonts w:hint="eastAsia" w:ascii="仿宋" w:hAnsi="仿宋" w:cs="仿宋"/>
          <w:lang w:val="en-US" w:eastAsia="zh-CN"/>
        </w:rPr>
      </w:pPr>
      <w:r>
        <w:rPr>
          <w:rFonts w:hint="eastAsia"/>
          <w:lang w:val="en-US" w:eastAsia="zh-CN"/>
        </w:rPr>
        <w:t>签到图</w:t>
      </w:r>
      <w:r>
        <w:rPr>
          <w:rFonts w:hint="eastAsia" w:ascii="仿宋" w:hAnsi="仿宋" w:eastAsia="仿宋" w:cs="仿宋"/>
          <w:lang w:val="en-US" w:eastAsia="zh-CN"/>
        </w:rPr>
        <w:t>_</w:t>
      </w:r>
      <w:r>
        <w:rPr>
          <w:rFonts w:hint="eastAsia" w:ascii="仿宋" w:hAnsi="仿宋" w:cs="仿宋"/>
          <w:lang w:val="en-US" w:eastAsia="zh-CN"/>
        </w:rPr>
        <w:t>2</w:t>
      </w:r>
    </w:p>
    <w:p w14:paraId="173E8C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双击今日开标项目中自己参与的项目进入该项目的开标大厅，页面自动弹出开标规则说明，如下（签到图_3）所示:</w:t>
      </w:r>
    </w:p>
    <w:p w14:paraId="14D73D47">
      <w:pPr>
        <w:spacing w:line="360" w:lineRule="auto"/>
        <w:jc w:val="center"/>
      </w:pPr>
      <w:r>
        <w:drawing>
          <wp:inline distT="0" distB="0" distL="114300" distR="114300">
            <wp:extent cx="4929505" cy="3367405"/>
            <wp:effectExtent l="0" t="0" r="4445" b="4445"/>
            <wp:docPr id="3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0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929505" cy="336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15853">
      <w:pPr>
        <w:spacing w:line="360" w:lineRule="auto"/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/>
          <w:lang w:val="en-US" w:eastAsia="zh-CN"/>
        </w:rPr>
        <w:t>签到图</w:t>
      </w:r>
      <w:r>
        <w:rPr>
          <w:rFonts w:hint="eastAsia" w:ascii="仿宋" w:hAnsi="仿宋" w:eastAsia="仿宋" w:cs="仿宋"/>
          <w:lang w:val="en-US" w:eastAsia="zh-CN"/>
        </w:rPr>
        <w:t>_3</w:t>
      </w:r>
    </w:p>
    <w:p w14:paraId="694D3A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仔细阅读开标规则说明，阅读完毕点击【关闭】按钮关闭开标规则说明，如（签到图_4）所示：</w:t>
      </w:r>
    </w:p>
    <w:p w14:paraId="69929D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</w:pPr>
      <w:r>
        <w:drawing>
          <wp:inline distT="0" distB="0" distL="114300" distR="114300">
            <wp:extent cx="5267960" cy="2865120"/>
            <wp:effectExtent l="0" t="0" r="8890" b="1905"/>
            <wp:docPr id="3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E4DE7">
      <w:pPr>
        <w:spacing w:line="360" w:lineRule="auto"/>
        <w:jc w:val="center"/>
        <w:rPr>
          <w:rFonts w:hint="eastAsia" w:ascii="仿宋" w:hAnsi="仿宋" w:cs="仿宋"/>
          <w:lang w:val="en-US" w:eastAsia="zh-CN"/>
        </w:rPr>
      </w:pPr>
      <w:r>
        <w:rPr>
          <w:rFonts w:hint="eastAsia"/>
          <w:lang w:val="en-US" w:eastAsia="zh-CN"/>
        </w:rPr>
        <w:t>签到图</w:t>
      </w:r>
      <w:r>
        <w:rPr>
          <w:rFonts w:hint="eastAsia" w:ascii="仿宋" w:hAnsi="仿宋" w:eastAsia="仿宋" w:cs="仿宋"/>
          <w:lang w:val="en-US" w:eastAsia="zh-CN"/>
        </w:rPr>
        <w:t>_</w:t>
      </w:r>
      <w:r>
        <w:rPr>
          <w:rFonts w:hint="eastAsia" w:ascii="仿宋" w:hAnsi="仿宋" w:cs="仿宋"/>
          <w:lang w:val="en-US" w:eastAsia="zh-CN"/>
        </w:rPr>
        <w:t>4</w:t>
      </w:r>
    </w:p>
    <w:p w14:paraId="1219A330">
      <w:pPr>
        <w:spacing w:line="360" w:lineRule="auto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显示当前项目的名称</w:t>
      </w:r>
      <w:r>
        <w:rPr>
          <w:rFonts w:hint="eastAsia" w:ascii="仿宋" w:hAnsi="仿宋"/>
          <w:sz w:val="24"/>
          <w:szCs w:val="24"/>
          <w:lang w:eastAsia="zh-CN"/>
        </w:rPr>
        <w:t>、</w:t>
      </w:r>
      <w:r>
        <w:rPr>
          <w:rFonts w:hint="eastAsia" w:ascii="仿宋" w:hAnsi="仿宋"/>
          <w:sz w:val="24"/>
          <w:szCs w:val="24"/>
          <w:lang w:val="en-US" w:eastAsia="zh-CN"/>
        </w:rPr>
        <w:t>开</w:t>
      </w:r>
      <w:r>
        <w:rPr>
          <w:rFonts w:hint="eastAsia" w:ascii="仿宋" w:hAnsi="仿宋" w:eastAsia="仿宋"/>
          <w:sz w:val="24"/>
          <w:szCs w:val="24"/>
        </w:rPr>
        <w:t>标大厅中开标的标段个数</w:t>
      </w:r>
      <w:r>
        <w:rPr>
          <w:rFonts w:hint="eastAsia" w:ascii="仿宋" w:hAnsi="仿宋"/>
          <w:sz w:val="24"/>
          <w:szCs w:val="24"/>
          <w:lang w:eastAsia="zh-CN"/>
        </w:rPr>
        <w:t>；</w:t>
      </w:r>
    </w:p>
    <w:p w14:paraId="60AB7978">
      <w:pPr>
        <w:spacing w:line="360" w:lineRule="auto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显示自己是否签到，成功进入开标大厅即签到成功</w:t>
      </w:r>
      <w:r>
        <w:rPr>
          <w:rFonts w:hint="eastAsia" w:ascii="仿宋" w:hAnsi="仿宋"/>
          <w:sz w:val="24"/>
          <w:szCs w:val="24"/>
          <w:lang w:eastAsia="zh-CN"/>
        </w:rPr>
        <w:t>；</w:t>
      </w:r>
    </w:p>
    <w:p w14:paraId="2F79239B">
      <w:pPr>
        <w:spacing w:line="360" w:lineRule="auto"/>
        <w:rPr>
          <w:rFonts w:hint="eastAsia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点击</w:t>
      </w:r>
      <w:r>
        <w:rPr>
          <w:rFonts w:hint="eastAsia" w:ascii="仿宋" w:hAnsi="仿宋"/>
          <w:sz w:val="24"/>
          <w:szCs w:val="24"/>
          <w:lang w:val="en-US" w:eastAsia="zh-CN"/>
        </w:rPr>
        <w:t>右上角【在线沟通】</w:t>
      </w:r>
      <w:r>
        <w:rPr>
          <w:rFonts w:hint="eastAsia" w:ascii="仿宋" w:hAnsi="仿宋" w:eastAsia="仿宋"/>
          <w:sz w:val="24"/>
          <w:szCs w:val="24"/>
        </w:rPr>
        <w:t>展开聊天窗口，可与项目经理在开标过程中进行在线的沟通交流</w:t>
      </w:r>
      <w:r>
        <w:rPr>
          <w:rFonts w:hint="eastAsia" w:ascii="仿宋" w:hAnsi="仿宋"/>
          <w:sz w:val="24"/>
          <w:szCs w:val="24"/>
          <w:lang w:eastAsia="zh-CN"/>
        </w:rPr>
        <w:t>。</w:t>
      </w:r>
    </w:p>
    <w:p w14:paraId="0B9AE1E2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bookmarkStart w:id="27" w:name="_Toc16682"/>
      <w:r>
        <w:rPr>
          <w:rFonts w:hint="eastAsia"/>
          <w:lang w:val="en-US" w:eastAsia="zh-CN"/>
        </w:rPr>
        <w:t>开标异议</w:t>
      </w:r>
      <w:bookmarkEnd w:id="27"/>
    </w:p>
    <w:p w14:paraId="0A0BEB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供应商点击开标大厅【开标异议】，跳转至提出异议页面，如（开标异议图_1）</w:t>
      </w:r>
    </w:p>
    <w:p w14:paraId="151D7EB7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bookmarkStart w:id="28" w:name="_Toc14400"/>
      <w:r>
        <w:rPr>
          <w:rFonts w:hint="eastAsia"/>
          <w:lang w:val="en-US" w:eastAsia="zh-CN"/>
        </w:rPr>
        <w:t>解密</w:t>
      </w:r>
      <w:bookmarkEnd w:id="28"/>
    </w:p>
    <w:p w14:paraId="736C8A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投标人解密文件需要用到编制投标文件时所用的CA，因此解密之前如果未绑定CA证书需要先绑定CA证书，绑定方法见本手册CA绑定。</w:t>
      </w:r>
    </w:p>
    <w:p w14:paraId="4990C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开标后投标人即可开始解密，投标人必须在规定的时间内完成解密。由于开标有项目经理手动开标和无人开标两方式，两种开标方式解密、签名的基本操作一致。不同的是手动开标方式，开标倒计时结束后，投标人需等待项目经理手动宣布开标才能解密，解密阶段结束后，投标人需等待项目经理发送开标记录表才能解密；无人开标方方式，开标倒计时结束后，标段立即自动开标，投标人开始解密，解密阶段结束后，标段立即自动发送开标记录表，签名阶段开始。</w:t>
      </w:r>
    </w:p>
    <w:p w14:paraId="1489FB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项目经理开标后投标人即可开始解密,如下（解密图_1）：</w:t>
      </w:r>
    </w:p>
    <w:p w14:paraId="1FE23889">
      <w:r>
        <w:drawing>
          <wp:inline distT="0" distB="0" distL="114300" distR="114300">
            <wp:extent cx="5272405" cy="2901950"/>
            <wp:effectExtent l="0" t="0" r="4445" b="3175"/>
            <wp:docPr id="3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E35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解密图_1</w:t>
      </w:r>
    </w:p>
    <w:p w14:paraId="333FA3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供应商需在解密倒计时前解密。点击【请解密】，弹出【解密】弹框，可使用CA密码解密（解密图_2）和密码信封解密（解密图_3），CA解密和密码信封解密二选一。</w:t>
      </w:r>
    </w:p>
    <w:p w14:paraId="3620E1B7">
      <w:pPr>
        <w:jc w:val="center"/>
      </w:pPr>
      <w:r>
        <w:drawing>
          <wp:inline distT="0" distB="0" distL="114300" distR="114300">
            <wp:extent cx="2576830" cy="1148080"/>
            <wp:effectExtent l="0" t="0" r="4445" b="4445"/>
            <wp:docPr id="3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7683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618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解密图_2</w:t>
      </w:r>
    </w:p>
    <w:p w14:paraId="213C6A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供应商输入CA密码，即可完成投标文件解密。点击【其他方式解密】，即为密码信封解密，如（解密图_3）。</w:t>
      </w:r>
    </w:p>
    <w:p w14:paraId="36A0CC4E">
      <w:pPr>
        <w:jc w:val="center"/>
      </w:pPr>
      <w:r>
        <w:drawing>
          <wp:inline distT="0" distB="0" distL="114300" distR="114300">
            <wp:extent cx="4948555" cy="3043555"/>
            <wp:effectExtent l="0" t="0" r="4445" b="4445"/>
            <wp:docPr id="3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948555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3FB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解密图_3</w:t>
      </w:r>
    </w:p>
    <w:p w14:paraId="6FE9D1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供应商输入密码信息点击【确定】，投标文件解密完成。</w:t>
      </w:r>
    </w:p>
    <w:p w14:paraId="2C214B89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29" w:name="_Toc20057"/>
      <w:r>
        <w:rPr>
          <w:rFonts w:hint="eastAsia"/>
          <w:lang w:val="en-US" w:eastAsia="zh-CN"/>
        </w:rPr>
        <w:t>签名</w:t>
      </w:r>
      <w:bookmarkEnd w:id="29"/>
    </w:p>
    <w:p w14:paraId="470919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项目经理下发开标一览表后，投标人即可签名，如（签名图_1）所示</w:t>
      </w:r>
    </w:p>
    <w:p w14:paraId="44D46B97">
      <w:r>
        <w:drawing>
          <wp:inline distT="0" distB="0" distL="114300" distR="114300">
            <wp:extent cx="5271135" cy="2908300"/>
            <wp:effectExtent l="0" t="0" r="5715" b="6350"/>
            <wp:docPr id="4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A1B4D">
      <w:pPr>
        <w:jc w:val="center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签名图_1</w:t>
      </w:r>
    </w:p>
    <w:p w14:paraId="1BA1F5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供应商需在签名时间倒计时内，完成签名；</w:t>
      </w:r>
    </w:p>
    <w:p w14:paraId="30FA7F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项目经理下发开标一览表后即显示【请签名】箭头，点击箭头所指图标，弹出如签名图_2,同时可点击查看开标记录表，查看开标记录。</w:t>
      </w:r>
    </w:p>
    <w:p w14:paraId="735895EF">
      <w:r>
        <w:drawing>
          <wp:inline distT="0" distB="0" distL="114300" distR="114300">
            <wp:extent cx="5268595" cy="2943860"/>
            <wp:effectExtent l="0" t="0" r="8255" b="8890"/>
            <wp:docPr id="4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DB41D">
      <w:pPr>
        <w:jc w:val="center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签名图_2</w:t>
      </w:r>
    </w:p>
    <w:p w14:paraId="7BDB39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供应商点击签名，弹出【签名】弹框，供应商可使用CA签名或人工签名。如（签名图_3）。</w:t>
      </w:r>
    </w:p>
    <w:p w14:paraId="4E1572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</w:pPr>
      <w:r>
        <w:drawing>
          <wp:inline distT="0" distB="0" distL="114300" distR="114300">
            <wp:extent cx="3567430" cy="1633855"/>
            <wp:effectExtent l="0" t="0" r="4445" b="4445"/>
            <wp:docPr id="4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5674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D0BBB">
      <w:pPr>
        <w:jc w:val="center"/>
        <w:rPr>
          <w:rFonts w:hint="default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签名图_3</w:t>
      </w:r>
    </w:p>
    <w:p w14:paraId="747DA6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供应商使用CA签名需要输入CA密码后点击确定；</w:t>
      </w:r>
    </w:p>
    <w:p w14:paraId="08FFC8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供应商使用人工签名，直接点击确定即可；</w:t>
      </w:r>
    </w:p>
    <w:p w14:paraId="2660D5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签名成功后，弹出</w:t>
      </w:r>
      <w:r>
        <w:rPr>
          <w:rFonts w:hint="eastAsia" w:ascii="仿宋" w:hAnsi="仿宋" w:cs="仿宋"/>
          <w:sz w:val="24"/>
          <w:szCs w:val="24"/>
          <w:lang w:val="en-US" w:eastAsia="zh-CN"/>
        </w:rPr>
        <w:t>（签名图_4）。</w:t>
      </w:r>
    </w:p>
    <w:p w14:paraId="1A7143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4767580" cy="2795905"/>
            <wp:effectExtent l="0" t="0" r="4445" b="4445"/>
            <wp:docPr id="4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76758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87FB8">
      <w:pPr>
        <w:jc w:val="center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签名图_4</w:t>
      </w:r>
    </w:p>
    <w:p w14:paraId="2DE361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联系人姓名与号码可修改，确认无误后，勾选并点击确定，开标大厅自动关闭。</w:t>
      </w:r>
    </w:p>
    <w:p w14:paraId="78837BBE">
      <w:pPr>
        <w:pStyle w:val="4"/>
        <w:numPr>
          <w:ilvl w:val="0"/>
          <w:numId w:val="3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bookmarkStart w:id="30" w:name="_Toc5870"/>
      <w:r>
        <w:rPr>
          <w:rFonts w:hint="eastAsia"/>
          <w:lang w:val="en-US" w:eastAsia="zh-CN"/>
        </w:rPr>
        <w:t>开标过程记录查看</w:t>
      </w:r>
      <w:bookmarkEnd w:id="30"/>
    </w:p>
    <w:p w14:paraId="35959F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开标结束后，项目主控台可点击【开标过程记录查看】，如（开标过程记录查看图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_1</w:t>
      </w:r>
      <w:r>
        <w:rPr>
          <w:rFonts w:hint="eastAsia"/>
          <w:sz w:val="24"/>
          <w:szCs w:val="24"/>
          <w:lang w:val="en-US" w:eastAsia="zh-CN"/>
        </w:rPr>
        <w:t>）。</w:t>
      </w:r>
    </w:p>
    <w:p w14:paraId="7AD593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仿宋" w:hAnsi="仿宋" w:cs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4785" cy="2679065"/>
            <wp:effectExtent l="0" t="0" r="2540" b="6985"/>
            <wp:docPr id="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7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239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开标过程记录查看图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_1</w:t>
      </w:r>
    </w:p>
    <w:p w14:paraId="74EF51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项目经理可查看开标大厅消息和对话消息，点击右上角【查看开标记录表】可查看开标记录表，并下载。</w:t>
      </w:r>
    </w:p>
    <w:p w14:paraId="3F58FAA7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31" w:name="_Toc8649"/>
      <w:bookmarkStart w:id="32" w:name="_Toc26046"/>
      <w:r>
        <w:rPr>
          <w:rFonts w:hint="eastAsia"/>
          <w:lang w:val="en-US" w:eastAsia="zh-CN"/>
        </w:rPr>
        <w:t>中标候选公示查看</w:t>
      </w:r>
      <w:bookmarkEnd w:id="31"/>
      <w:bookmarkEnd w:id="32"/>
    </w:p>
    <w:p w14:paraId="539F44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项目经理发布中标/成交候选公示后，投标人/供应商通过项目工作台，点击菜单中【中标候选公示查看】，进入如下页面查看：</w:t>
      </w:r>
    </w:p>
    <w:p w14:paraId="7A648C57">
      <w:pPr>
        <w:spacing w:line="360" w:lineRule="auto"/>
        <w:ind w:firstLine="420" w:firstLineChars="200"/>
        <w:jc w:val="center"/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3672840" cy="2995295"/>
            <wp:effectExtent l="0" t="0" r="3810" b="5080"/>
            <wp:docPr id="4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4"/>
                    <pic:cNvPicPr>
                      <a:picLocks noChangeAspect="1"/>
                    </pic:cNvPicPr>
                  </pic:nvPicPr>
                  <pic:blipFill>
                    <a:blip r:embed="rId50"/>
                    <a:srcRect l="-265" t="-62" r="622" b="58506"/>
                    <a:stretch>
                      <a:fillRect/>
                    </a:stretch>
                  </pic:blipFill>
                  <pic:spPr>
                    <a:xfrm>
                      <a:off x="0" y="0"/>
                      <a:ext cx="3701337" cy="301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79C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</w:t>
      </w:r>
      <w:r>
        <w:rPr>
          <w:rFonts w:hint="eastAsia" w:ascii="仿宋" w:hAnsi="仿宋" w:cs="仿宋"/>
          <w:sz w:val="24"/>
          <w:szCs w:val="24"/>
          <w:lang w:val="en-US" w:eastAsia="zh-CN"/>
        </w:rPr>
        <w:t>候选公示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图_1</w:t>
      </w:r>
    </w:p>
    <w:p w14:paraId="230D551E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33" w:name="_中标结果公告查看"/>
      <w:bookmarkEnd w:id="33"/>
      <w:bookmarkStart w:id="34" w:name="_Toc22515"/>
      <w:bookmarkStart w:id="35" w:name="_Toc25619"/>
      <w:r>
        <w:rPr>
          <w:rFonts w:hint="eastAsia"/>
          <w:lang w:val="en-US" w:eastAsia="zh-CN"/>
        </w:rPr>
        <w:t>中标结果公告查看</w:t>
      </w:r>
      <w:bookmarkEnd w:id="34"/>
      <w:bookmarkEnd w:id="35"/>
    </w:p>
    <w:p w14:paraId="6AF521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项目经理发布中标/成交结果公告后，投标人/供应商通过项目工作台，点击菜单中【中标结果公告查看】，进入如下页面查看：</w:t>
      </w:r>
    </w:p>
    <w:p w14:paraId="52DAAEEB">
      <w:pPr>
        <w:jc w:val="center"/>
      </w:pPr>
      <w:r>
        <w:drawing>
          <wp:inline distT="0" distB="0" distL="114300" distR="114300">
            <wp:extent cx="5269230" cy="3155950"/>
            <wp:effectExtent l="0" t="0" r="7620" b="6350"/>
            <wp:docPr id="5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5"/>
                    <pic:cNvPicPr>
                      <a:picLocks noChangeAspect="1"/>
                    </pic:cNvPicPr>
                  </pic:nvPicPr>
                  <pic:blipFill>
                    <a:blip r:embed="rId51"/>
                    <a:srcRect t="8605" b="454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D07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</w:t>
      </w:r>
      <w:r>
        <w:rPr>
          <w:rFonts w:hint="eastAsia" w:ascii="仿宋" w:hAnsi="仿宋" w:cs="仿宋"/>
          <w:sz w:val="24"/>
          <w:szCs w:val="24"/>
          <w:lang w:val="en-US" w:eastAsia="zh-CN"/>
        </w:rPr>
        <w:t>结果公告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图_1</w:t>
      </w:r>
    </w:p>
    <w:p w14:paraId="5584D11F"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36" w:name="_中标通知书查看"/>
      <w:bookmarkEnd w:id="36"/>
      <w:bookmarkStart w:id="37" w:name="_Toc11876"/>
      <w:bookmarkStart w:id="38" w:name="_Toc15223"/>
      <w:r>
        <w:rPr>
          <w:rFonts w:hint="eastAsia"/>
          <w:lang w:val="en-US" w:eastAsia="zh-CN"/>
        </w:rPr>
        <w:t>中标通知书查看</w:t>
      </w:r>
      <w:bookmarkEnd w:id="37"/>
      <w:bookmarkEnd w:id="38"/>
    </w:p>
    <w:p w14:paraId="5F4637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项目经理发出中标/成交通知书后，投标人/供应商通过项目工作台，点击菜单中【中标通知书查看】，进入如下页面查看：</w:t>
      </w:r>
    </w:p>
    <w:p w14:paraId="67A7BC45">
      <w:r>
        <w:drawing>
          <wp:inline distT="0" distB="0" distL="114300" distR="114300">
            <wp:extent cx="5269230" cy="1898015"/>
            <wp:effectExtent l="0" t="0" r="7620" b="6985"/>
            <wp:docPr id="5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6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DE4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中标通知书图_1</w:t>
      </w:r>
    </w:p>
    <w:p w14:paraId="691A55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E8348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C1E60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41F59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4741F59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0FFA0F">
    <w:pPr>
      <w:pStyle w:val="7"/>
      <w:rPr>
        <w:rFonts w:hint="default" w:eastAsia="黑体"/>
        <w:u w:val="single"/>
        <w:lang w:val="en-US" w:eastAsia="zh-CN"/>
      </w:rPr>
    </w:pPr>
    <w:r>
      <w:rPr>
        <w:rFonts w:hint="eastAsia"/>
        <w:u w:val="single"/>
        <w:lang w:val="en-US" w:eastAsia="zh-CN"/>
      </w:rPr>
      <w:t xml:space="preserve">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B8994D"/>
    <w:multiLevelType w:val="multilevel"/>
    <w:tmpl w:val="8FB8994D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1">
    <w:nsid w:val="0A204384"/>
    <w:multiLevelType w:val="singleLevel"/>
    <w:tmpl w:val="0A204384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4D21710A"/>
    <w:multiLevelType w:val="multilevel"/>
    <w:tmpl w:val="4D21710A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zZmViOWU5NzM3YzQ4MDA1NDk4NTM4NTU0ZTEyNzUifQ=="/>
  </w:docVars>
  <w:rsids>
    <w:rsidRoot w:val="00000000"/>
    <w:rsid w:val="02924A42"/>
    <w:rsid w:val="02EA7E22"/>
    <w:rsid w:val="039871ED"/>
    <w:rsid w:val="052838F5"/>
    <w:rsid w:val="06534FD1"/>
    <w:rsid w:val="06CA03B1"/>
    <w:rsid w:val="080E41AF"/>
    <w:rsid w:val="09653637"/>
    <w:rsid w:val="0AD171DB"/>
    <w:rsid w:val="0B262031"/>
    <w:rsid w:val="0C6C0502"/>
    <w:rsid w:val="0DE325EB"/>
    <w:rsid w:val="10C90025"/>
    <w:rsid w:val="110E4174"/>
    <w:rsid w:val="126F08F1"/>
    <w:rsid w:val="12A96A1F"/>
    <w:rsid w:val="165B2E3B"/>
    <w:rsid w:val="184C2409"/>
    <w:rsid w:val="187E3BEA"/>
    <w:rsid w:val="18AB34CA"/>
    <w:rsid w:val="19B2029A"/>
    <w:rsid w:val="1AD556E9"/>
    <w:rsid w:val="1ADE1BE9"/>
    <w:rsid w:val="1B2E0721"/>
    <w:rsid w:val="1BE04E45"/>
    <w:rsid w:val="1D6C171F"/>
    <w:rsid w:val="1DCD00C6"/>
    <w:rsid w:val="1DFB572F"/>
    <w:rsid w:val="1E7C1627"/>
    <w:rsid w:val="2238791D"/>
    <w:rsid w:val="227E139E"/>
    <w:rsid w:val="24EE1B49"/>
    <w:rsid w:val="285F4B0C"/>
    <w:rsid w:val="2B774C09"/>
    <w:rsid w:val="2CF16C6C"/>
    <w:rsid w:val="2D281971"/>
    <w:rsid w:val="2DEF06E0"/>
    <w:rsid w:val="31601AE1"/>
    <w:rsid w:val="317364D1"/>
    <w:rsid w:val="323963CE"/>
    <w:rsid w:val="33125209"/>
    <w:rsid w:val="339977DD"/>
    <w:rsid w:val="33F86541"/>
    <w:rsid w:val="357065D7"/>
    <w:rsid w:val="361B02C4"/>
    <w:rsid w:val="3689507B"/>
    <w:rsid w:val="37377F76"/>
    <w:rsid w:val="3871309C"/>
    <w:rsid w:val="388F2DAC"/>
    <w:rsid w:val="396E515E"/>
    <w:rsid w:val="3F973B34"/>
    <w:rsid w:val="42DA3D4E"/>
    <w:rsid w:val="42F61A03"/>
    <w:rsid w:val="43455505"/>
    <w:rsid w:val="445D1E68"/>
    <w:rsid w:val="44E85546"/>
    <w:rsid w:val="46C2478C"/>
    <w:rsid w:val="476B6BD2"/>
    <w:rsid w:val="4900334A"/>
    <w:rsid w:val="49F50D2B"/>
    <w:rsid w:val="4A234023"/>
    <w:rsid w:val="4A6427D1"/>
    <w:rsid w:val="4D640208"/>
    <w:rsid w:val="4DAE2F4C"/>
    <w:rsid w:val="4F721432"/>
    <w:rsid w:val="50847A72"/>
    <w:rsid w:val="50A07BC8"/>
    <w:rsid w:val="50AF5049"/>
    <w:rsid w:val="53830C1D"/>
    <w:rsid w:val="54CC73C2"/>
    <w:rsid w:val="557773FB"/>
    <w:rsid w:val="56260CB7"/>
    <w:rsid w:val="567C4958"/>
    <w:rsid w:val="56AF2930"/>
    <w:rsid w:val="57805D82"/>
    <w:rsid w:val="593D5A54"/>
    <w:rsid w:val="59F4763A"/>
    <w:rsid w:val="5BEE5874"/>
    <w:rsid w:val="5D8B01B4"/>
    <w:rsid w:val="5E082FF5"/>
    <w:rsid w:val="5E3C52C0"/>
    <w:rsid w:val="5E617BC4"/>
    <w:rsid w:val="5E8A51B3"/>
    <w:rsid w:val="5F685EE8"/>
    <w:rsid w:val="61F626E1"/>
    <w:rsid w:val="61FD3ED8"/>
    <w:rsid w:val="63C94F54"/>
    <w:rsid w:val="64822322"/>
    <w:rsid w:val="67987117"/>
    <w:rsid w:val="67A21667"/>
    <w:rsid w:val="68FD72DA"/>
    <w:rsid w:val="69BB4B07"/>
    <w:rsid w:val="6A861CF3"/>
    <w:rsid w:val="6A886960"/>
    <w:rsid w:val="6ADB7A47"/>
    <w:rsid w:val="6B252A70"/>
    <w:rsid w:val="6C2E533A"/>
    <w:rsid w:val="6C57134F"/>
    <w:rsid w:val="6E2F772D"/>
    <w:rsid w:val="6EC30F1E"/>
    <w:rsid w:val="6EF20050"/>
    <w:rsid w:val="6F20559F"/>
    <w:rsid w:val="6F504D9E"/>
    <w:rsid w:val="71995F66"/>
    <w:rsid w:val="73E64D74"/>
    <w:rsid w:val="73F233AE"/>
    <w:rsid w:val="77074FC4"/>
    <w:rsid w:val="77321D48"/>
    <w:rsid w:val="77E47E66"/>
    <w:rsid w:val="78566129"/>
    <w:rsid w:val="7AE71CCE"/>
    <w:rsid w:val="7C1E3C37"/>
    <w:rsid w:val="7E1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30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ind w:left="840" w:leftChars="400"/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autoRedefine/>
    <w:qFormat/>
    <w:uiPriority w:val="0"/>
  </w:style>
  <w:style w:type="paragraph" w:styleId="9">
    <w:name w:val="toc 2"/>
    <w:basedOn w:val="1"/>
    <w:next w:val="1"/>
    <w:qFormat/>
    <w:uiPriority w:val="0"/>
    <w:pPr>
      <w:ind w:left="420" w:leftChars="200"/>
    </w:pPr>
  </w:style>
  <w:style w:type="character" w:styleId="12">
    <w:name w:val="FollowedHyperlink"/>
    <w:basedOn w:val="11"/>
    <w:qFormat/>
    <w:uiPriority w:val="0"/>
    <w:rPr>
      <w:color w:val="800080"/>
      <w:u w:val="single"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WPSOffice手动目录 1"/>
    <w:autoRedefine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5" Type="http://schemas.openxmlformats.org/officeDocument/2006/relationships/fontTable" Target="fontTable.xml"/><Relationship Id="rId54" Type="http://schemas.openxmlformats.org/officeDocument/2006/relationships/numbering" Target="numbering.xml"/><Relationship Id="rId53" Type="http://schemas.openxmlformats.org/officeDocument/2006/relationships/customXml" Target="../customXml/item1.xml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footer" Target="footer2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openxmlformats.org/officeDocument/2006/relationships/image" Target="media/image38.png"/><Relationship Id="rId43" Type="http://schemas.openxmlformats.org/officeDocument/2006/relationships/image" Target="media/image37.png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footer" Target="footer1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header" Target="head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27</Pages>
  <Words>1503</Words>
  <Characters>1616</Characters>
  <Lines>0</Lines>
  <Paragraphs>0</Paragraphs>
  <TotalTime>1</TotalTime>
  <ScaleCrop>false</ScaleCrop>
  <LinksUpToDate>false</LinksUpToDate>
  <CharactersWithSpaces>1665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2023-10-19T11:15:00Z</dcterms:created>
  <dc:creator>wangw</dc:creator>
  <cp:lastModifiedBy>喝酸奶舔盖儿</cp:lastModifiedBy>
  <dcterms:modified xsi:type="dcterms:W3CDTF">2025-06-29T12:15:37Z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91C66F49B34E427484F76F8612569C0A_13</vt:lpwstr>
  </property>
  <property fmtid="{D5CDD505-2E9C-101B-9397-08002B2CF9AE}" pid="4" name="KSOTemplateDocerSaveRecord">
    <vt:lpwstr>eyJoZGlkIjoiMGI4NWUyZmJhMjc4YmEzYjVkMDcyNTFhYjRlY2UyYjUiLCJ1c2VySWQiOiIxMjAzNTcyNTg1In0=</vt:lpwstr>
  </property>
</Properties>
</file>