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7DD68">
      <w:pPr>
        <w:rPr>
          <w:rFonts w:ascii="仿宋" w:hAnsi="仿宋" w:eastAsia="仿宋" w:cs="仿宋"/>
          <w:b/>
          <w:color w:val="000000"/>
          <w:sz w:val="21"/>
          <w:szCs w:val="21"/>
        </w:rPr>
      </w:pPr>
    </w:p>
    <w:p w14:paraId="6E5922DA"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 w14:paraId="6CB6CFB8"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 w14:paraId="3BD3B4D7"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 w14:paraId="6BF6902B"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 w14:paraId="1FDAD80D"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 w14:paraId="6C969FF3">
      <w:pPr>
        <w:adjustRightInd w:val="0"/>
        <w:snapToGrid w:val="0"/>
        <w:jc w:val="center"/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</w:pPr>
      <w:r>
        <w:rPr>
          <w:rFonts w:hint="eastAsia" w:ascii="黑体" w:hAnsi="黑体" w:eastAsia="黑体" w:cs="黑体"/>
          <w:b/>
          <w:bCs/>
          <w:sz w:val="60"/>
          <w:szCs w:val="60"/>
          <w:lang w:val="en-US" w:eastAsia="zh-CN"/>
        </w:rPr>
        <w:t>“电科招采”电子采购平台</w:t>
      </w:r>
    </w:p>
    <w:p w14:paraId="68EBE1F6">
      <w:pPr>
        <w:adjustRightInd w:val="0"/>
        <w:snapToGrid w:val="0"/>
        <w:jc w:val="center"/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  <w:lang w:val="en-US" w:eastAsia="zh-CN"/>
        </w:rPr>
      </w:pP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  <w:lang w:val="en-US" w:eastAsia="zh-CN"/>
        </w:rPr>
        <w:t>投标客户端</w:t>
      </w:r>
    </w:p>
    <w:p w14:paraId="03A03952">
      <w:pPr>
        <w:adjustRightInd w:val="0"/>
        <w:snapToGrid w:val="0"/>
        <w:jc w:val="center"/>
        <w:rPr>
          <w:rFonts w:ascii="方正小标宋简体" w:eastAsia="方正小标宋简体"/>
          <w:b/>
          <w:snapToGrid w:val="0"/>
          <w:spacing w:val="12"/>
          <w:kern w:val="0"/>
          <w:sz w:val="56"/>
          <w:szCs w:val="56"/>
        </w:rPr>
      </w:pP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  <w:lang w:val="en-US" w:eastAsia="zh-CN"/>
        </w:rPr>
        <w:t>操作</w:t>
      </w: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  <w:t>手册</w:t>
      </w:r>
    </w:p>
    <w:p w14:paraId="3A9733CE">
      <w:pPr>
        <w:jc w:val="center"/>
        <w:rPr>
          <w:rFonts w:ascii="宋体" w:hAnsi="宋体"/>
          <w:b/>
          <w:bCs/>
        </w:rPr>
      </w:pPr>
    </w:p>
    <w:p w14:paraId="2BF34A31">
      <w:pPr>
        <w:jc w:val="center"/>
        <w:rPr>
          <w:rFonts w:ascii="宋体" w:hAnsi="宋体"/>
          <w:b/>
          <w:bCs/>
        </w:rPr>
      </w:pPr>
    </w:p>
    <w:p w14:paraId="08D795BE">
      <w:pPr>
        <w:jc w:val="center"/>
        <w:rPr>
          <w:rFonts w:ascii="宋体" w:hAnsi="宋体"/>
          <w:b/>
          <w:bCs/>
        </w:rPr>
      </w:pPr>
    </w:p>
    <w:p w14:paraId="726C04C8">
      <w:pPr>
        <w:jc w:val="center"/>
        <w:rPr>
          <w:rFonts w:ascii="宋体" w:hAnsi="宋体"/>
          <w:b/>
          <w:bCs/>
        </w:rPr>
      </w:pPr>
    </w:p>
    <w:p w14:paraId="3022AB40">
      <w:pPr>
        <w:jc w:val="center"/>
        <w:rPr>
          <w:rFonts w:ascii="宋体" w:hAnsi="宋体"/>
          <w:b/>
          <w:bCs/>
        </w:rPr>
      </w:pPr>
    </w:p>
    <w:p w14:paraId="67726495">
      <w:pPr>
        <w:jc w:val="center"/>
        <w:rPr>
          <w:rFonts w:ascii="宋体" w:hAnsi="宋体"/>
          <w:b/>
          <w:bCs/>
        </w:rPr>
      </w:pPr>
    </w:p>
    <w:p w14:paraId="4746A535">
      <w:pPr>
        <w:jc w:val="center"/>
        <w:rPr>
          <w:rFonts w:ascii="宋体" w:hAnsi="宋体"/>
          <w:b/>
          <w:bCs/>
        </w:rPr>
      </w:pPr>
    </w:p>
    <w:p w14:paraId="60F805D1">
      <w:pPr>
        <w:jc w:val="center"/>
        <w:rPr>
          <w:rFonts w:ascii="宋体" w:hAnsi="宋体"/>
          <w:b/>
          <w:bCs/>
        </w:rPr>
      </w:pPr>
    </w:p>
    <w:p w14:paraId="398358FC">
      <w:pPr>
        <w:jc w:val="center"/>
        <w:rPr>
          <w:rFonts w:ascii="宋体" w:hAnsi="宋体"/>
          <w:b/>
          <w:bCs/>
        </w:rPr>
      </w:pPr>
    </w:p>
    <w:p w14:paraId="7BD804C7">
      <w:pPr>
        <w:rPr>
          <w:rFonts w:ascii="宋体" w:hAnsi="宋体"/>
          <w:b/>
          <w:bCs/>
        </w:rPr>
      </w:pPr>
    </w:p>
    <w:p w14:paraId="4C187B09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rPr>
          <w:rFonts w:ascii="宋体" w:hAnsi="宋体"/>
          <w:b/>
          <w:bCs/>
        </w:rPr>
      </w:pPr>
    </w:p>
    <w:p w14:paraId="07FECD07">
      <w:pPr>
        <w:rPr>
          <w:rFonts w:ascii="宋体" w:hAnsi="宋体"/>
          <w:b/>
          <w:bCs/>
        </w:rPr>
      </w:pPr>
    </w:p>
    <w:p w14:paraId="1A2F4875">
      <w:pPr>
        <w:rPr>
          <w:rFonts w:ascii="宋体" w:hAnsi="宋体"/>
          <w:b/>
          <w:bCs/>
        </w:rPr>
      </w:pPr>
    </w:p>
    <w:p w14:paraId="6108F65E">
      <w:pPr>
        <w:rPr>
          <w:rFonts w:ascii="宋体" w:hAnsi="宋体"/>
          <w:b/>
          <w:bCs/>
        </w:rPr>
      </w:pPr>
    </w:p>
    <w:p w14:paraId="17C56153">
      <w:pPr>
        <w:rPr>
          <w:rFonts w:ascii="宋体" w:hAnsi="宋体"/>
          <w:b/>
          <w:bCs/>
        </w:rPr>
      </w:pPr>
    </w:p>
    <w:p w14:paraId="6EF753C1">
      <w:pPr>
        <w:rPr>
          <w:rFonts w:ascii="宋体" w:hAnsi="宋体"/>
          <w:b/>
          <w:bCs/>
        </w:rPr>
      </w:pPr>
    </w:p>
    <w:p w14:paraId="7D64A826">
      <w:pPr>
        <w:rPr>
          <w:rFonts w:ascii="宋体" w:hAnsi="宋体"/>
          <w:b/>
          <w:bCs/>
        </w:rPr>
      </w:pPr>
    </w:p>
    <w:p w14:paraId="7A2C29E4">
      <w:pPr>
        <w:rPr>
          <w:rFonts w:ascii="宋体" w:hAnsi="宋体"/>
          <w:b/>
          <w:bCs/>
        </w:rPr>
      </w:pPr>
    </w:p>
    <w:p w14:paraId="15B602FF">
      <w:pPr>
        <w:spacing w:line="360" w:lineRule="auto"/>
        <w:ind w:left="0" w:leftChars="0" w:firstLine="0" w:firstLineChars="0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上海汇招信息技术有限公司</w:t>
      </w:r>
    </w:p>
    <w:p w14:paraId="45F6A787">
      <w:pPr>
        <w:spacing w:line="360" w:lineRule="auto"/>
        <w:ind w:left="0" w:leftChars="0" w:firstLine="0" w:firstLineChars="0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202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/>
          <w:sz w:val="36"/>
          <w:szCs w:val="36"/>
        </w:rPr>
        <w:t xml:space="preserve"> 年 0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 xml:space="preserve">6 </w:t>
      </w:r>
      <w:r>
        <w:rPr>
          <w:rFonts w:hint="eastAsia" w:ascii="黑体" w:hAnsi="黑体" w:eastAsia="黑体"/>
          <w:sz w:val="36"/>
          <w:szCs w:val="36"/>
        </w:rPr>
        <w:t>月</w:t>
      </w:r>
    </w:p>
    <w:p w14:paraId="6F232C63">
      <w:pPr>
        <w:jc w:val="center"/>
        <w:rPr>
          <w:rFonts w:ascii="仿宋" w:hAnsi="仿宋" w:eastAsia="仿宋" w:cs="仿宋"/>
          <w:b/>
          <w:color w:val="000000"/>
          <w:sz w:val="21"/>
          <w:szCs w:val="21"/>
        </w:rPr>
      </w:pPr>
    </w:p>
    <w:p w14:paraId="230117E4">
      <w:pPr>
        <w:pStyle w:val="2"/>
        <w:rPr>
          <w:rFonts w:ascii="仿宋" w:hAnsi="仿宋" w:eastAsia="仿宋" w:cs="仿宋"/>
          <w:sz w:val="21"/>
          <w:szCs w:val="21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p w14:paraId="6308FC13">
      <w:pPr>
        <w:jc w:val="center"/>
        <w:rPr>
          <w:rFonts w:asciiTheme="minorEastAsia" w:hAnsiTheme="minorEastAsia" w:eastAsiaTheme="minorEastAsia"/>
          <w:b/>
          <w:sz w:val="30"/>
          <w:szCs w:val="30"/>
        </w:rPr>
      </w:pPr>
      <w:r>
        <w:rPr>
          <w:rFonts w:hint="eastAsia" w:asciiTheme="minorEastAsia" w:hAnsiTheme="minorEastAsia" w:eastAsiaTheme="minorEastAsia"/>
          <w:b/>
          <w:sz w:val="30"/>
          <w:szCs w:val="30"/>
        </w:rPr>
        <w:t>文档修订记录</w:t>
      </w:r>
    </w:p>
    <w:tbl>
      <w:tblPr>
        <w:tblStyle w:val="38"/>
        <w:tblW w:w="852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6"/>
        <w:gridCol w:w="1291"/>
        <w:gridCol w:w="1864"/>
        <w:gridCol w:w="1386"/>
        <w:gridCol w:w="3081"/>
      </w:tblGrid>
      <w:tr w14:paraId="2F06A1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906" w:type="dxa"/>
            <w:shd w:val="clear" w:color="auto" w:fill="E0E0E0"/>
            <w:vAlign w:val="center"/>
          </w:tcPr>
          <w:p w14:paraId="4BBE1786">
            <w:pPr>
              <w:spacing w:before="138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291" w:type="dxa"/>
            <w:shd w:val="clear" w:color="auto" w:fill="E0E0E0"/>
            <w:vAlign w:val="center"/>
          </w:tcPr>
          <w:p w14:paraId="031D76E4">
            <w:pPr>
              <w:spacing w:before="139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版本号</w:t>
            </w:r>
          </w:p>
        </w:tc>
        <w:tc>
          <w:tcPr>
            <w:tcW w:w="1864" w:type="dxa"/>
            <w:shd w:val="clear" w:color="auto" w:fill="E0E0E0"/>
            <w:vAlign w:val="center"/>
          </w:tcPr>
          <w:p w14:paraId="4FD9D834">
            <w:pPr>
              <w:spacing w:before="139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  <w:lang w:val="en-US" w:eastAsia="zh-CN"/>
              </w:rPr>
              <w:t>修订时间</w:t>
            </w:r>
          </w:p>
        </w:tc>
        <w:tc>
          <w:tcPr>
            <w:tcW w:w="1386" w:type="dxa"/>
            <w:shd w:val="clear" w:color="auto" w:fill="E0E0E0"/>
            <w:vAlign w:val="center"/>
          </w:tcPr>
          <w:p w14:paraId="550CF2D1">
            <w:pPr>
              <w:spacing w:before="139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  <w:szCs w:val="24"/>
                <w:lang w:val="en-US" w:eastAsia="zh-CN"/>
              </w:rPr>
              <w:t>修订人员</w:t>
            </w:r>
          </w:p>
        </w:tc>
        <w:tc>
          <w:tcPr>
            <w:tcW w:w="3081" w:type="dxa"/>
            <w:shd w:val="clear" w:color="auto" w:fill="E0E0E0"/>
            <w:vAlign w:val="center"/>
          </w:tcPr>
          <w:p w14:paraId="17C9FE0C">
            <w:pPr>
              <w:spacing w:before="139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  <w:szCs w:val="24"/>
                <w:lang w:val="en-US" w:eastAsia="zh-CN"/>
              </w:rPr>
              <w:t>修订说明</w:t>
            </w:r>
          </w:p>
        </w:tc>
      </w:tr>
      <w:tr w14:paraId="7D6378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 w14:paraId="6219FC28">
            <w:pPr>
              <w:spacing w:before="177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91" w:type="dxa"/>
            <w:vAlign w:val="center"/>
          </w:tcPr>
          <w:p w14:paraId="5FA2D988">
            <w:pPr>
              <w:spacing w:before="134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V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64" w:type="dxa"/>
            <w:vAlign w:val="center"/>
          </w:tcPr>
          <w:p w14:paraId="1BB3C950">
            <w:pPr>
              <w:tabs>
                <w:tab w:val="center" w:pos="634"/>
              </w:tabs>
              <w:spacing w:before="177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-0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1386" w:type="dxa"/>
            <w:vAlign w:val="center"/>
          </w:tcPr>
          <w:p w14:paraId="43A03138">
            <w:pPr>
              <w:spacing w:before="134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xxx</w:t>
            </w:r>
          </w:p>
        </w:tc>
        <w:tc>
          <w:tcPr>
            <w:tcW w:w="3081" w:type="dxa"/>
            <w:vAlign w:val="center"/>
          </w:tcPr>
          <w:p w14:paraId="2B3A0436">
            <w:pPr>
              <w:spacing w:before="134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初稿</w:t>
            </w:r>
          </w:p>
        </w:tc>
      </w:tr>
      <w:tr w14:paraId="09F7C3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 w14:paraId="0823E224">
            <w:pPr>
              <w:spacing w:before="177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1" w:type="dxa"/>
            <w:vAlign w:val="center"/>
          </w:tcPr>
          <w:p w14:paraId="42C1DBAD">
            <w:pPr>
              <w:pStyle w:val="39"/>
              <w:spacing w:line="360" w:lineRule="auto"/>
              <w:jc w:val="center"/>
            </w:pPr>
          </w:p>
        </w:tc>
        <w:tc>
          <w:tcPr>
            <w:tcW w:w="1864" w:type="dxa"/>
            <w:vAlign w:val="center"/>
          </w:tcPr>
          <w:p w14:paraId="2C9F5A88">
            <w:pPr>
              <w:pStyle w:val="39"/>
              <w:spacing w:line="360" w:lineRule="auto"/>
              <w:jc w:val="center"/>
            </w:pPr>
          </w:p>
        </w:tc>
        <w:tc>
          <w:tcPr>
            <w:tcW w:w="1386" w:type="dxa"/>
            <w:vAlign w:val="center"/>
          </w:tcPr>
          <w:p w14:paraId="6F587ABD">
            <w:pPr>
              <w:pStyle w:val="39"/>
              <w:spacing w:line="360" w:lineRule="auto"/>
              <w:jc w:val="center"/>
            </w:pPr>
          </w:p>
        </w:tc>
        <w:tc>
          <w:tcPr>
            <w:tcW w:w="3081" w:type="dxa"/>
            <w:vAlign w:val="center"/>
          </w:tcPr>
          <w:p w14:paraId="7FA15274">
            <w:pPr>
              <w:pStyle w:val="39"/>
              <w:spacing w:line="360" w:lineRule="auto"/>
              <w:jc w:val="center"/>
            </w:pPr>
          </w:p>
        </w:tc>
      </w:tr>
      <w:tr w14:paraId="1588B4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 w14:paraId="08B1801B">
            <w:pPr>
              <w:spacing w:before="177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1" w:type="dxa"/>
            <w:vAlign w:val="center"/>
          </w:tcPr>
          <w:p w14:paraId="47340EB2">
            <w:pPr>
              <w:pStyle w:val="39"/>
              <w:spacing w:line="360" w:lineRule="auto"/>
              <w:jc w:val="center"/>
            </w:pPr>
          </w:p>
        </w:tc>
        <w:tc>
          <w:tcPr>
            <w:tcW w:w="1864" w:type="dxa"/>
            <w:vAlign w:val="center"/>
          </w:tcPr>
          <w:p w14:paraId="6C2A12B2">
            <w:pPr>
              <w:pStyle w:val="39"/>
              <w:spacing w:line="360" w:lineRule="auto"/>
              <w:jc w:val="center"/>
            </w:pPr>
          </w:p>
        </w:tc>
        <w:tc>
          <w:tcPr>
            <w:tcW w:w="1386" w:type="dxa"/>
            <w:vAlign w:val="center"/>
          </w:tcPr>
          <w:p w14:paraId="6FF5C0B5">
            <w:pPr>
              <w:pStyle w:val="39"/>
              <w:spacing w:line="360" w:lineRule="auto"/>
              <w:jc w:val="center"/>
            </w:pPr>
          </w:p>
        </w:tc>
        <w:tc>
          <w:tcPr>
            <w:tcW w:w="3081" w:type="dxa"/>
            <w:vAlign w:val="center"/>
          </w:tcPr>
          <w:p w14:paraId="15CFB77B">
            <w:pPr>
              <w:pStyle w:val="39"/>
              <w:spacing w:line="360" w:lineRule="auto"/>
              <w:jc w:val="center"/>
            </w:pPr>
          </w:p>
        </w:tc>
      </w:tr>
    </w:tbl>
    <w:p w14:paraId="52BA1FDE">
      <w:pPr>
        <w:rPr>
          <w:rFonts w:ascii="仿宋" w:hAnsi="仿宋" w:eastAsia="仿宋" w:cs="仿宋"/>
          <w:sz w:val="21"/>
          <w:szCs w:val="21"/>
        </w:rPr>
      </w:pPr>
    </w:p>
    <w:p w14:paraId="4535CC33">
      <w:pPr>
        <w:widowControl/>
        <w:jc w:val="left"/>
        <w:rPr>
          <w:rFonts w:ascii="仿宋" w:hAnsi="仿宋" w:eastAsia="仿宋" w:cs="仿宋"/>
          <w:b/>
          <w:bCs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21"/>
          <w:szCs w:val="21"/>
        </w:rPr>
        <w:br w:type="page"/>
      </w:r>
    </w:p>
    <w:sdt>
      <w:sdtPr>
        <w:rPr>
          <w:rFonts w:hint="eastAsia" w:ascii="仿宋" w:hAnsi="仿宋" w:eastAsia="仿宋" w:cs="仿宋"/>
          <w:sz w:val="21"/>
          <w:szCs w:val="21"/>
        </w:rPr>
        <w:id w:val="147470690"/>
        <w:docPartObj>
          <w:docPartGallery w:val="Table of Contents"/>
          <w:docPartUnique/>
        </w:docPartObj>
      </w:sdtPr>
      <w:sdtEndPr>
        <w:rPr>
          <w:rFonts w:hint="eastAsia" w:ascii="仿宋" w:hAnsi="仿宋" w:eastAsia="仿宋" w:cs="仿宋"/>
          <w:sz w:val="21"/>
          <w:szCs w:val="21"/>
        </w:rPr>
      </w:sdtEndPr>
      <w:sdtContent>
        <w:p w14:paraId="16C4CF73">
          <w:pPr>
            <w:jc w:val="center"/>
            <w:rPr>
              <w:rFonts w:cs="仿宋" w:asciiTheme="minorEastAsia" w:hAnsiTheme="minorEastAsia" w:eastAsiaTheme="minorEastAsia"/>
              <w:b/>
              <w:sz w:val="28"/>
              <w:szCs w:val="28"/>
            </w:rPr>
          </w:pPr>
          <w:r>
            <w:rPr>
              <w:rFonts w:hint="eastAsia" w:cs="仿宋" w:asciiTheme="minorEastAsia" w:hAnsiTheme="minorEastAsia" w:eastAsiaTheme="minorEastAsia"/>
              <w:b/>
              <w:sz w:val="28"/>
              <w:szCs w:val="28"/>
            </w:rPr>
            <w:t>目 录</w:t>
          </w:r>
        </w:p>
        <w:p w14:paraId="45A168DE">
          <w:pPr>
            <w:pStyle w:val="15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"1-6"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_Toc13853 </w:instrText>
          </w:r>
          <w:r>
            <w:fldChar w:fldCharType="separate"/>
          </w:r>
          <w:r>
            <w:rPr>
              <w:rFonts w:hint="eastAsia" w:eastAsia="黑体" w:asciiTheme="minorAscii" w:hAnsiTheme="minorAscii"/>
              <w:bCs w:val="0"/>
              <w:szCs w:val="24"/>
              <w:lang w:val="en-US" w:eastAsia="zh-CN"/>
            </w:rPr>
            <w:t>一、 招标项目-“投标客户端”编制投标文件</w:t>
          </w:r>
          <w:r>
            <w:tab/>
          </w:r>
          <w:r>
            <w:fldChar w:fldCharType="begin"/>
          </w:r>
          <w:r>
            <w:instrText xml:space="preserve"> PAGEREF _Toc13853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13989708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_Toc20371 </w:instrText>
          </w:r>
          <w: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1． 客户端编制投标文件</w:t>
          </w:r>
          <w:r>
            <w:tab/>
          </w:r>
          <w:r>
            <w:fldChar w:fldCharType="begin"/>
          </w:r>
          <w:r>
            <w:instrText xml:space="preserve"> PAGEREF _Toc20371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6894017C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_Toc3233 </w:instrText>
          </w:r>
          <w: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2． 投标客户端首页</w:t>
          </w:r>
          <w:r>
            <w:tab/>
          </w:r>
          <w:r>
            <w:fldChar w:fldCharType="begin"/>
          </w:r>
          <w:r>
            <w:instrText xml:space="preserve"> PAGEREF _Toc3233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63F8A6E0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_Toc6935 </w:instrText>
          </w:r>
          <w: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3． 投标文件（商技价）</w:t>
          </w:r>
          <w:r>
            <w:tab/>
          </w:r>
          <w:r>
            <w:fldChar w:fldCharType="begin"/>
          </w:r>
          <w:r>
            <w:instrText xml:space="preserve"> PAGEREF _Toc6935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4ABB478D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_Toc14596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 xml:space="preserve">（1） </w:t>
          </w:r>
          <w:r>
            <w:rPr>
              <w:rFonts w:hint="eastAsia"/>
              <w:szCs w:val="24"/>
              <w:lang w:val="en-US" w:eastAsia="zh-CN"/>
            </w:rPr>
            <w:t>商务文件</w:t>
          </w:r>
          <w:r>
            <w:tab/>
          </w:r>
          <w:r>
            <w:fldChar w:fldCharType="begin"/>
          </w:r>
          <w:r>
            <w:instrText xml:space="preserve"> PAGEREF _Toc14596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5778B8FA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_Toc29891 </w:instrText>
          </w:r>
          <w: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（2） 技术文件</w:t>
          </w:r>
          <w:r>
            <w:tab/>
          </w:r>
          <w:r>
            <w:fldChar w:fldCharType="begin"/>
          </w:r>
          <w:r>
            <w:instrText xml:space="preserve"> PAGEREF _Toc29891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70A6DDF1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_Toc27809 </w:instrText>
          </w:r>
          <w: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（3） 价格文件</w:t>
          </w:r>
          <w:r>
            <w:tab/>
          </w:r>
          <w:r>
            <w:fldChar w:fldCharType="begin"/>
          </w:r>
          <w:r>
            <w:instrText xml:space="preserve"> PAGEREF _Toc27809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 w14:paraId="3E3283E6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_Toc166 </w:instrText>
          </w:r>
          <w: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（4） 条款关联</w:t>
          </w:r>
          <w:r>
            <w:tab/>
          </w:r>
          <w:r>
            <w:fldChar w:fldCharType="begin"/>
          </w:r>
          <w:r>
            <w:instrText xml:space="preserve"> PAGEREF _Toc166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087A8D83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_Toc6885 </w:instrText>
          </w:r>
          <w: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（5） 生成投标文件</w:t>
          </w:r>
          <w:r>
            <w:tab/>
          </w:r>
          <w:r>
            <w:fldChar w:fldCharType="begin"/>
          </w:r>
          <w:r>
            <w:instrText xml:space="preserve"> PAGEREF _Toc6885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6EA703E8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_Toc11694 </w:instrText>
          </w:r>
          <w: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（6） 重新生成密码</w:t>
          </w:r>
          <w:r>
            <w:tab/>
          </w:r>
          <w:r>
            <w:fldChar w:fldCharType="begin"/>
          </w:r>
          <w:r>
            <w:instrText xml:space="preserve"> PAGEREF _Toc11694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1661D737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_Toc25462 </w:instrText>
          </w:r>
          <w: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（7） 投保文件解密验证</w:t>
          </w:r>
          <w:r>
            <w:tab/>
          </w:r>
          <w:r>
            <w:fldChar w:fldCharType="begin"/>
          </w:r>
          <w:r>
            <w:instrText xml:space="preserve"> PAGEREF _Toc25462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6DC529A0"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_Toc32681 </w:instrText>
          </w:r>
          <w: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（8） PDF文件签章</w:t>
          </w:r>
          <w:r>
            <w:tab/>
          </w:r>
          <w:r>
            <w:fldChar w:fldCharType="begin"/>
          </w:r>
          <w:r>
            <w:instrText xml:space="preserve"> PAGEREF _Toc32681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 w14:paraId="437FBE1E">
          <w:pPr>
            <w:rPr>
              <w:rFonts w:ascii="仿宋" w:hAnsi="仿宋" w:eastAsia="仿宋" w:cs="仿宋"/>
              <w:sz w:val="21"/>
              <w:szCs w:val="21"/>
            </w:rPr>
          </w:pPr>
          <w:r>
            <w:fldChar w:fldCharType="end"/>
          </w:r>
        </w:p>
      </w:sdtContent>
    </w:sdt>
    <w:p w14:paraId="1E55CB6F">
      <w:pPr>
        <w:pStyle w:val="2"/>
        <w:numPr>
          <w:ilvl w:val="0"/>
          <w:numId w:val="1"/>
        </w:numPr>
        <w:ind w:left="357" w:hanging="357"/>
        <w:rPr>
          <w:rFonts w:ascii="仿宋" w:hAnsi="仿宋" w:eastAsia="仿宋" w:cs="仿宋"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34" w:name="_GoBack"/>
      <w:bookmarkEnd w:id="34"/>
    </w:p>
    <w:p w14:paraId="66D36E9E">
      <w:pPr>
        <w:pStyle w:val="2"/>
        <w:numPr>
          <w:ilvl w:val="0"/>
          <w:numId w:val="2"/>
        </w:numPr>
        <w:bidi w:val="0"/>
        <w:spacing w:beforeLines="0" w:beforeAutospacing="0" w:afterLines="0" w:afterAutospacing="0" w:line="576" w:lineRule="auto"/>
        <w:rPr>
          <w:rFonts w:hint="eastAsia" w:eastAsia="黑体" w:asciiTheme="minorAscii" w:hAnsiTheme="minorAscii"/>
          <w:bCs w:val="0"/>
          <w:sz w:val="32"/>
          <w:szCs w:val="24"/>
          <w:lang w:val="en-US" w:eastAsia="zh-CN"/>
        </w:rPr>
      </w:pPr>
      <w:bookmarkStart w:id="0" w:name="_Toc10878"/>
      <w:bookmarkStart w:id="1" w:name="_Toc30192"/>
      <w:bookmarkStart w:id="2" w:name="_Toc25942"/>
      <w:bookmarkStart w:id="3" w:name="_Toc13853"/>
      <w:r>
        <w:rPr>
          <w:rFonts w:hint="eastAsia" w:eastAsia="黑体" w:asciiTheme="minorAscii" w:hAnsiTheme="minorAscii"/>
          <w:bCs w:val="0"/>
          <w:sz w:val="32"/>
          <w:szCs w:val="24"/>
          <w:lang w:val="en-US" w:eastAsia="zh-CN"/>
        </w:rPr>
        <w:t>招标项目</w:t>
      </w:r>
      <w:bookmarkEnd w:id="0"/>
      <w:bookmarkEnd w:id="1"/>
      <w:r>
        <w:rPr>
          <w:rFonts w:hint="eastAsia" w:eastAsia="黑体" w:asciiTheme="minorAscii" w:hAnsiTheme="minorAscii"/>
          <w:bCs w:val="0"/>
          <w:sz w:val="32"/>
          <w:szCs w:val="24"/>
          <w:lang w:val="en-US" w:eastAsia="zh-CN"/>
        </w:rPr>
        <w:t>-“投标客户端”编制投标文件</w:t>
      </w:r>
      <w:bookmarkEnd w:id="2"/>
      <w:bookmarkEnd w:id="3"/>
    </w:p>
    <w:p w14:paraId="45526B31">
      <w:pPr>
        <w:pStyle w:val="3"/>
        <w:numPr>
          <w:ilvl w:val="1"/>
          <w:numId w:val="2"/>
        </w:numPr>
        <w:bidi w:val="0"/>
        <w:spacing w:beforeLines="0" w:beforeAutospacing="0" w:afterLines="0" w:afterAutospacing="0"/>
        <w:rPr>
          <w:rFonts w:hint="eastAsia"/>
          <w:sz w:val="30"/>
          <w:szCs w:val="24"/>
          <w:lang w:val="en-US" w:eastAsia="zh-CN"/>
        </w:rPr>
      </w:pPr>
      <w:bookmarkStart w:id="4" w:name="_购买文件_1"/>
      <w:bookmarkEnd w:id="4"/>
      <w:bookmarkStart w:id="5" w:name="_投标人报名与邀请回执_1"/>
      <w:bookmarkEnd w:id="5"/>
      <w:bookmarkStart w:id="6" w:name="_Toc10321"/>
      <w:bookmarkStart w:id="7" w:name="_Toc23860"/>
      <w:bookmarkStart w:id="8" w:name="_Toc6494"/>
      <w:bookmarkStart w:id="9" w:name="_Toc20371"/>
      <w:r>
        <w:rPr>
          <w:rFonts w:hint="eastAsia"/>
          <w:sz w:val="30"/>
          <w:szCs w:val="24"/>
          <w:lang w:val="en-US" w:eastAsia="zh-CN"/>
        </w:rPr>
        <w:t>客户端编制投标文件</w:t>
      </w:r>
      <w:bookmarkEnd w:id="6"/>
      <w:bookmarkEnd w:id="7"/>
      <w:bookmarkEnd w:id="8"/>
      <w:bookmarkEnd w:id="9"/>
    </w:p>
    <w:p w14:paraId="48926519"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bookmarkStart w:id="10" w:name="_绑定CA证书"/>
      <w:bookmarkEnd w:id="10"/>
      <w:r>
        <w:rPr>
          <w:rFonts w:hint="eastAsia" w:ascii="仿宋" w:hAnsi="仿宋" w:eastAsia="仿宋" w:cs="仿宋"/>
          <w:sz w:val="21"/>
          <w:szCs w:val="21"/>
        </w:rPr>
        <w:t>投标客户端适用于参与投标的投标人/供应商制作投标文件时使用，主要功能包括查看文件制作记录、创建投标文件、创建资格申请文件、重新生成密码、投标文件解密验证以及pdf文件签章。</w:t>
      </w:r>
    </w:p>
    <w:p w14:paraId="492B3291">
      <w:pPr>
        <w:pStyle w:val="3"/>
        <w:numPr>
          <w:ilvl w:val="1"/>
          <w:numId w:val="2"/>
        </w:numPr>
        <w:bidi w:val="0"/>
        <w:spacing w:beforeLines="0" w:beforeAutospacing="0" w:afterLines="0" w:afterAutospacing="0"/>
        <w:rPr>
          <w:rFonts w:hint="eastAsia"/>
          <w:sz w:val="30"/>
          <w:szCs w:val="24"/>
          <w:lang w:val="en-US" w:eastAsia="zh-CN"/>
        </w:rPr>
      </w:pPr>
      <w:bookmarkStart w:id="11" w:name="_Toc25973"/>
      <w:bookmarkStart w:id="12" w:name="_Toc6708"/>
      <w:bookmarkStart w:id="13" w:name="_Toc3233"/>
      <w:r>
        <w:rPr>
          <w:rFonts w:hint="eastAsia"/>
          <w:sz w:val="30"/>
          <w:szCs w:val="24"/>
          <w:lang w:val="en-US" w:eastAsia="zh-CN"/>
        </w:rPr>
        <w:t>投标客户端首页</w:t>
      </w:r>
      <w:bookmarkEnd w:id="11"/>
      <w:bookmarkEnd w:id="12"/>
      <w:bookmarkEnd w:id="13"/>
    </w:p>
    <w:p w14:paraId="0DF9AEBB">
      <w:pPr>
        <w:rPr>
          <w:rFonts w:hint="eastAsia" w:ascii="仿宋" w:hAnsi="仿宋" w:eastAsia="宋体" w:cs="仿宋"/>
          <w:sz w:val="21"/>
          <w:szCs w:val="21"/>
          <w:lang w:eastAsia="zh-CN"/>
        </w:rPr>
      </w:pPr>
      <w:r>
        <w:drawing>
          <wp:inline distT="0" distB="0" distL="114300" distR="114300">
            <wp:extent cx="5271770" cy="3371850"/>
            <wp:effectExtent l="0" t="0" r="508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9C3C6"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 w14:paraId="34AA7AE7"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投标人/供应商可在此页面</w:t>
      </w:r>
      <w:r>
        <w:rPr>
          <w:rFonts w:hint="eastAsia" w:ascii="仿宋" w:hAnsi="仿宋" w:eastAsia="仿宋" w:cs="仿宋"/>
          <w:bCs/>
          <w:sz w:val="21"/>
          <w:szCs w:val="21"/>
        </w:rPr>
        <w:t>查看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、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删除等</w:t>
      </w:r>
      <w:r>
        <w:rPr>
          <w:rFonts w:hint="eastAsia" w:ascii="仿宋" w:hAnsi="仿宋" w:eastAsia="仿宋" w:cs="仿宋"/>
          <w:bCs/>
          <w:sz w:val="21"/>
          <w:szCs w:val="21"/>
        </w:rPr>
        <w:t>客户端制作文件记录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切换CA，切换语言等操作。</w:t>
      </w:r>
    </w:p>
    <w:p w14:paraId="68B92A25">
      <w:pPr>
        <w:pStyle w:val="3"/>
        <w:numPr>
          <w:ilvl w:val="1"/>
          <w:numId w:val="2"/>
        </w:numPr>
        <w:bidi w:val="0"/>
        <w:spacing w:beforeLines="0" w:beforeAutospacing="0" w:afterLines="0" w:afterAutospacing="0"/>
        <w:rPr>
          <w:rFonts w:hint="eastAsia"/>
          <w:sz w:val="30"/>
          <w:szCs w:val="24"/>
          <w:lang w:val="en-US" w:eastAsia="zh-CN"/>
        </w:rPr>
      </w:pPr>
      <w:bookmarkStart w:id="14" w:name="_Toc16214"/>
      <w:bookmarkStart w:id="15" w:name="_Toc4942"/>
      <w:bookmarkStart w:id="16" w:name="_Toc6935"/>
      <w:r>
        <w:rPr>
          <w:rFonts w:hint="eastAsia"/>
          <w:sz w:val="30"/>
          <w:szCs w:val="24"/>
          <w:lang w:val="en-US" w:eastAsia="zh-CN"/>
        </w:rPr>
        <w:t>投标文件（商技价）</w:t>
      </w:r>
      <w:bookmarkEnd w:id="14"/>
      <w:bookmarkEnd w:id="15"/>
      <w:bookmarkEnd w:id="16"/>
    </w:p>
    <w:p w14:paraId="43FAB413"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商技价文件包含商务文件、技术文件以及价格文件3份文件，投标人/供应商需同时完成三分文件的制作，递交文件时一并递交</w:t>
      </w:r>
    </w:p>
    <w:p w14:paraId="5B513312">
      <w:pPr>
        <w:pStyle w:val="3"/>
        <w:numPr>
          <w:ilvl w:val="2"/>
          <w:numId w:val="2"/>
        </w:numPr>
        <w:bidi w:val="0"/>
        <w:spacing w:beforeLines="0" w:beforeAutospacing="0" w:afterLines="0" w:afterAutospacing="0"/>
        <w:ind w:left="0" w:leftChars="0" w:firstLine="402" w:firstLineChars="0"/>
        <w:rPr>
          <w:rFonts w:ascii="仿宋" w:hAnsi="仿宋" w:eastAsia="仿宋" w:cs="仿宋"/>
          <w:sz w:val="21"/>
          <w:szCs w:val="21"/>
        </w:rPr>
      </w:pPr>
      <w:bookmarkStart w:id="17" w:name="_Toc9559"/>
      <w:bookmarkStart w:id="18" w:name="_Toc14596"/>
      <w:r>
        <w:rPr>
          <w:rFonts w:hint="eastAsia"/>
          <w:sz w:val="30"/>
          <w:szCs w:val="24"/>
          <w:lang w:val="en-US" w:eastAsia="zh-CN"/>
        </w:rPr>
        <w:t>商务文件</w:t>
      </w:r>
      <w:bookmarkEnd w:id="17"/>
      <w:bookmarkEnd w:id="18"/>
    </w:p>
    <w:p w14:paraId="7066D685"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6055" cy="3350260"/>
            <wp:effectExtent l="0" t="0" r="127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5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3356610"/>
            <wp:effectExtent l="0" t="0" r="8255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5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FC0AD">
      <w:pPr>
        <w:spacing w:line="360" w:lineRule="auto"/>
        <w:ind w:firstLine="480" w:firstLineChars="200"/>
        <w:jc w:val="center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9865" cy="3408680"/>
            <wp:effectExtent l="0" t="0" r="6985" b="127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0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 w14:paraId="1BCF2A33"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 w14:paraId="3E8C3255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制作商务文件，商务文件包含表单（若有）和主pdf两部分，表单根据实际项目需求，由招标业务经理添加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70D5C950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商务文件的主pdf,需投标人上传，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上传后，</w:t>
      </w:r>
      <w:r>
        <w:rPr>
          <w:rFonts w:hint="eastAsia" w:ascii="仿宋" w:hAnsi="仿宋" w:eastAsia="仿宋" w:cs="仿宋"/>
          <w:bCs/>
          <w:sz w:val="21"/>
          <w:szCs w:val="21"/>
        </w:rPr>
        <w:t>文件支持合并表单数据（若有表单）签章、删除、和查看的操作，签章完成后需确认完成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5ECDCDAC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上传附件，文件类型不限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5A2BC60A"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确认完成，确认完成后方可进行下一阶段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。</w:t>
      </w:r>
    </w:p>
    <w:p w14:paraId="725B25D9">
      <w:pPr>
        <w:pStyle w:val="3"/>
        <w:numPr>
          <w:ilvl w:val="2"/>
          <w:numId w:val="2"/>
        </w:numPr>
        <w:bidi w:val="0"/>
        <w:spacing w:beforeLines="0" w:beforeAutospacing="0" w:afterLines="0" w:afterAutospacing="0"/>
        <w:ind w:left="0" w:leftChars="0" w:firstLine="402" w:firstLineChars="0"/>
        <w:rPr>
          <w:rFonts w:hint="eastAsia"/>
          <w:sz w:val="30"/>
          <w:szCs w:val="24"/>
          <w:lang w:val="en-US" w:eastAsia="zh-CN"/>
        </w:rPr>
      </w:pPr>
      <w:bookmarkStart w:id="19" w:name="_Toc1717"/>
      <w:bookmarkStart w:id="20" w:name="_Toc29891"/>
      <w:r>
        <w:rPr>
          <w:rFonts w:hint="eastAsia"/>
          <w:sz w:val="30"/>
          <w:szCs w:val="24"/>
          <w:lang w:val="en-US" w:eastAsia="zh-CN"/>
        </w:rPr>
        <w:t>技术文件</w:t>
      </w:r>
      <w:bookmarkEnd w:id="19"/>
      <w:bookmarkEnd w:id="20"/>
    </w:p>
    <w:p w14:paraId="0C7F6165"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2405" cy="3362325"/>
            <wp:effectExtent l="0" t="0" r="4445" b="0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F8858">
      <w:pPr>
        <w:spacing w:line="360" w:lineRule="auto"/>
        <w:ind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 w14:paraId="064B430D"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2405" cy="3395345"/>
            <wp:effectExtent l="0" t="0" r="4445" b="5080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9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394075"/>
            <wp:effectExtent l="0" t="0" r="6985" b="6350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46990"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 w14:paraId="09CA1F4B"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 w14:paraId="0CDB7A45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制作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技术</w:t>
      </w:r>
      <w:r>
        <w:rPr>
          <w:rFonts w:hint="eastAsia" w:ascii="仿宋" w:hAnsi="仿宋" w:eastAsia="仿宋" w:cs="仿宋"/>
          <w:bCs/>
          <w:sz w:val="21"/>
          <w:szCs w:val="21"/>
        </w:rPr>
        <w:t>文件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150E1F8D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技术</w:t>
      </w:r>
      <w:r>
        <w:rPr>
          <w:rFonts w:hint="eastAsia" w:ascii="仿宋" w:hAnsi="仿宋" w:eastAsia="仿宋" w:cs="仿宋"/>
          <w:bCs/>
          <w:sz w:val="21"/>
          <w:szCs w:val="21"/>
        </w:rPr>
        <w:t>文件的主pdf,需投标人上传，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上传后，</w:t>
      </w:r>
      <w:r>
        <w:rPr>
          <w:rFonts w:hint="eastAsia" w:ascii="仿宋" w:hAnsi="仿宋" w:eastAsia="仿宋" w:cs="仿宋"/>
          <w:bCs/>
          <w:sz w:val="21"/>
          <w:szCs w:val="21"/>
        </w:rPr>
        <w:t>文件支持签章、删除、和查看的操作，签章完成后需确认完成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4D5EB246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上传附件，文件类型不限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5B1E361B"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确认完成，确认完成后方可进行下一阶段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。</w:t>
      </w:r>
    </w:p>
    <w:p w14:paraId="66DDD37C">
      <w:pPr>
        <w:pStyle w:val="3"/>
        <w:numPr>
          <w:ilvl w:val="2"/>
          <w:numId w:val="2"/>
        </w:numPr>
        <w:bidi w:val="0"/>
        <w:spacing w:beforeLines="0" w:beforeAutospacing="0" w:afterLines="0" w:afterAutospacing="0"/>
        <w:ind w:left="0" w:leftChars="0" w:firstLine="402" w:firstLineChars="0"/>
        <w:rPr>
          <w:rFonts w:hint="eastAsia"/>
          <w:sz w:val="30"/>
          <w:szCs w:val="24"/>
          <w:lang w:val="en-US" w:eastAsia="zh-CN"/>
        </w:rPr>
      </w:pPr>
      <w:bookmarkStart w:id="21" w:name="_2.4.1.3_价格文件"/>
      <w:bookmarkEnd w:id="21"/>
      <w:bookmarkStart w:id="22" w:name="_Toc2990"/>
      <w:bookmarkStart w:id="23" w:name="_3.4.1.3.3_价格文件"/>
      <w:bookmarkStart w:id="24" w:name="_Toc27809"/>
      <w:r>
        <w:rPr>
          <w:rFonts w:hint="eastAsia"/>
          <w:sz w:val="30"/>
          <w:szCs w:val="24"/>
          <w:lang w:val="en-US" w:eastAsia="zh-CN"/>
        </w:rPr>
        <w:t>价格文件</w:t>
      </w:r>
      <w:bookmarkEnd w:id="22"/>
      <w:bookmarkEnd w:id="23"/>
      <w:bookmarkEnd w:id="24"/>
    </w:p>
    <w:p w14:paraId="01735964"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6055" cy="3371850"/>
            <wp:effectExtent l="0" t="0" r="1270" b="0"/>
            <wp:docPr id="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3368040"/>
            <wp:effectExtent l="0" t="0" r="0" b="3810"/>
            <wp:docPr id="1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44C78">
      <w:pPr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  <w:r>
        <w:drawing>
          <wp:inline distT="0" distB="0" distL="114300" distR="114300">
            <wp:extent cx="5271135" cy="3397250"/>
            <wp:effectExtent l="0" t="0" r="5715" b="3175"/>
            <wp:docPr id="1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9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98C9C"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 w14:paraId="7C6D3866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点击制作价格文件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461118CC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项目专用表单，点击后页面显示招标业务经理制作的专用表单，以及表单说明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4E8CD291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技术文件的主pdf,需投标人上传，文件支持合并表单数据、签章、删除、和查看的操作，签章完成后需确认完成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63B9F383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上传附件，文件类型不限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51FC71BC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确认完成，确认完成后方可进行下一阶段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。</w:t>
      </w:r>
    </w:p>
    <w:p w14:paraId="126D6D45">
      <w:pPr>
        <w:pStyle w:val="3"/>
        <w:numPr>
          <w:ilvl w:val="2"/>
          <w:numId w:val="2"/>
        </w:numPr>
        <w:bidi w:val="0"/>
        <w:spacing w:beforeLines="0" w:beforeAutospacing="0" w:afterLines="0" w:afterAutospacing="0"/>
        <w:ind w:left="0" w:leftChars="0" w:firstLine="402" w:firstLineChars="0"/>
        <w:rPr>
          <w:rFonts w:hint="eastAsia"/>
          <w:sz w:val="30"/>
          <w:szCs w:val="24"/>
          <w:lang w:val="en-US" w:eastAsia="zh-CN"/>
        </w:rPr>
      </w:pPr>
      <w:bookmarkStart w:id="25" w:name="_Toc6139"/>
      <w:bookmarkStart w:id="26" w:name="_Toc166"/>
      <w:r>
        <w:rPr>
          <w:rFonts w:hint="eastAsia"/>
          <w:sz w:val="30"/>
          <w:szCs w:val="24"/>
          <w:lang w:val="en-US" w:eastAsia="zh-CN"/>
        </w:rPr>
        <w:t>条款关联</w:t>
      </w:r>
      <w:bookmarkEnd w:id="25"/>
      <w:bookmarkEnd w:id="26"/>
    </w:p>
    <w:p w14:paraId="449F3D58"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8595" cy="3362325"/>
            <wp:effectExtent l="0" t="0" r="8255" b="0"/>
            <wp:docPr id="2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362EA">
      <w:pPr>
        <w:spacing w:line="360" w:lineRule="auto"/>
        <w:ind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 w14:paraId="311B2E1C"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 w14:paraId="188E89C3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条款关联功能，点击后跳转到条款关联页面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3475BACE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下拉选择需要关联条款的文件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15EC4669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点击【开启关联】，投标人/供应商可选择条款关联到具体的页码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3122C976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已关联或者无需关联的条款展示为图中样式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478B3FC2"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该样式为需要关联的条款，招标业务经理需先点击条款再在右侧文件中点击需要关联的页码（右侧文件内容支持页面跳转以及滚动两种方式切换页码）</w:t>
      </w:r>
    </w:p>
    <w:p w14:paraId="1D369174">
      <w:pPr>
        <w:spacing w:line="360" w:lineRule="auto"/>
        <w:rPr>
          <w:rStyle w:val="24"/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点击【确认完成】后，可以生成投标文件</w:t>
      </w:r>
    </w:p>
    <w:p w14:paraId="2E043B3D">
      <w:pPr>
        <w:pStyle w:val="3"/>
        <w:numPr>
          <w:ilvl w:val="2"/>
          <w:numId w:val="2"/>
        </w:numPr>
        <w:bidi w:val="0"/>
        <w:spacing w:beforeLines="0" w:beforeAutospacing="0" w:afterLines="0" w:afterAutospacing="0"/>
        <w:ind w:left="0" w:leftChars="0" w:firstLine="402" w:firstLineChars="0"/>
        <w:rPr>
          <w:rFonts w:hint="eastAsia"/>
          <w:sz w:val="30"/>
          <w:szCs w:val="24"/>
          <w:lang w:val="en-US" w:eastAsia="zh-CN"/>
        </w:rPr>
      </w:pPr>
      <w:bookmarkStart w:id="27" w:name="_Toc7708"/>
      <w:bookmarkStart w:id="28" w:name="_Toc6885"/>
      <w:r>
        <w:rPr>
          <w:rFonts w:hint="eastAsia"/>
          <w:sz w:val="30"/>
          <w:szCs w:val="24"/>
          <w:lang w:val="en-US" w:eastAsia="zh-CN"/>
        </w:rPr>
        <w:t>生成投标文件</w:t>
      </w:r>
      <w:bookmarkEnd w:id="27"/>
      <w:bookmarkEnd w:id="28"/>
    </w:p>
    <w:p w14:paraId="3D8B38E9"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7325" cy="3395345"/>
            <wp:effectExtent l="0" t="0" r="0" b="508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9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EAC27">
      <w:pPr>
        <w:spacing w:line="360" w:lineRule="auto"/>
        <w:ind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 w14:paraId="2DE582BF"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7325" cy="3380105"/>
            <wp:effectExtent l="0" t="0" r="0" b="1270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8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16CF2">
      <w:pPr>
        <w:spacing w:line="360" w:lineRule="auto"/>
        <w:ind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 w14:paraId="565457F7"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 w14:paraId="359692BD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点击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生成</w:t>
      </w:r>
      <w:r>
        <w:rPr>
          <w:rFonts w:hint="eastAsia" w:ascii="仿宋" w:hAnsi="仿宋" w:eastAsia="仿宋" w:cs="仿宋"/>
          <w:bCs/>
          <w:sz w:val="21"/>
          <w:szCs w:val="21"/>
        </w:rPr>
        <w:t>投标文件，页面跳转到设置信封密码信息界面，密码设置完成后，需再次点击【生成投标文件】并进行ca认证，才能生成投标文件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01E14B8A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点击【重置密码】，页面跳转到设置信封密码界面，重置密码后，需再次点击【生成投标文件】并进行ca认证，密码能够生效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65A7B828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输入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、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确认</w:t>
      </w:r>
      <w:r>
        <w:rPr>
          <w:rFonts w:hint="eastAsia" w:ascii="仿宋" w:hAnsi="仿宋" w:eastAsia="仿宋" w:cs="仿宋"/>
          <w:bCs/>
          <w:sz w:val="21"/>
          <w:szCs w:val="21"/>
        </w:rPr>
        <w:t>信封密码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后，</w:t>
      </w:r>
      <w:r>
        <w:rPr>
          <w:rFonts w:hint="eastAsia" w:ascii="仿宋" w:hAnsi="仿宋" w:eastAsia="仿宋" w:cs="仿宋"/>
          <w:bCs/>
          <w:sz w:val="21"/>
          <w:szCs w:val="21"/>
        </w:rPr>
        <w:t>点击【确定】完成信封密码设置，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再次点击【生成投标文件】输入ca密码，选择文件输出位置。即生成投标文件；</w:t>
      </w:r>
    </w:p>
    <w:p w14:paraId="6CCF41C0">
      <w:pPr>
        <w:spacing w:line="360" w:lineRule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点击【取消】返回生成投标文件页面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。</w:t>
      </w:r>
    </w:p>
    <w:p w14:paraId="099FF6F8">
      <w:pPr>
        <w:pStyle w:val="3"/>
        <w:numPr>
          <w:ilvl w:val="2"/>
          <w:numId w:val="2"/>
        </w:numPr>
        <w:bidi w:val="0"/>
        <w:spacing w:beforeLines="0" w:beforeAutospacing="0" w:afterLines="0" w:afterAutospacing="0"/>
        <w:ind w:left="0" w:leftChars="0" w:firstLine="402" w:firstLineChars="0"/>
        <w:rPr>
          <w:rFonts w:hint="eastAsia"/>
          <w:sz w:val="30"/>
          <w:szCs w:val="24"/>
          <w:lang w:val="en-US" w:eastAsia="zh-CN"/>
        </w:rPr>
      </w:pPr>
      <w:bookmarkStart w:id="29" w:name="_Toc11694"/>
      <w:bookmarkStart w:id="30" w:name="_Toc21642"/>
      <w:r>
        <w:rPr>
          <w:rFonts w:hint="eastAsia"/>
          <w:sz w:val="30"/>
          <w:szCs w:val="24"/>
          <w:lang w:val="en-US" w:eastAsia="zh-CN"/>
        </w:rPr>
        <w:t>重新生成密码</w:t>
      </w:r>
      <w:bookmarkEnd w:id="29"/>
    </w:p>
    <w:p w14:paraId="4D6E3214"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3675" cy="3356610"/>
            <wp:effectExtent l="0" t="0" r="3175" b="5715"/>
            <wp:docPr id="2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35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43589"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 w14:paraId="43647EF1"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 w14:paraId="67629905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点击</w:t>
      </w:r>
      <w:r>
        <w:rPr>
          <w:rFonts w:hint="eastAsia" w:ascii="仿宋" w:hAnsi="仿宋" w:eastAsia="仿宋" w:cs="仿宋"/>
          <w:bCs/>
          <w:sz w:val="21"/>
          <w:szCs w:val="21"/>
        </w:rPr>
        <w:t>重新生成信封密码，点击后跳转到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此页面</w:t>
      </w:r>
      <w:r>
        <w:rPr>
          <w:rFonts w:hint="eastAsia" w:ascii="仿宋" w:hAnsi="仿宋" w:eastAsia="仿宋" w:cs="仿宋"/>
          <w:bCs/>
          <w:sz w:val="21"/>
          <w:szCs w:val="21"/>
        </w:rPr>
        <w:t>，适用于投标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文件</w:t>
      </w:r>
      <w:r>
        <w:rPr>
          <w:rFonts w:hint="eastAsia" w:ascii="仿宋" w:hAnsi="仿宋" w:eastAsia="仿宋" w:cs="仿宋"/>
          <w:bCs/>
          <w:sz w:val="21"/>
          <w:szCs w:val="21"/>
        </w:rPr>
        <w:t>制作完成后，投标人/供应商忘记密码或者需要更改信封密码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25450FDD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选择需要生成密码的投标文件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bCs/>
          <w:sz w:val="21"/>
          <w:szCs w:val="21"/>
        </w:rPr>
        <w:t>输入ca密码，完成ca认证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61B8F4FC">
      <w:pPr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点击生成解密密码，在本地文件夹生成新的密码文件，格式为txt</w:t>
      </w:r>
    </w:p>
    <w:p w14:paraId="309BEC68">
      <w:pPr>
        <w:pStyle w:val="3"/>
        <w:numPr>
          <w:ilvl w:val="2"/>
          <w:numId w:val="2"/>
        </w:numPr>
        <w:bidi w:val="0"/>
        <w:spacing w:beforeLines="0" w:beforeAutospacing="0" w:afterLines="0" w:afterAutospacing="0"/>
        <w:ind w:left="0" w:leftChars="0" w:firstLine="402" w:firstLineChars="0"/>
        <w:rPr>
          <w:rFonts w:hint="eastAsia"/>
          <w:sz w:val="30"/>
          <w:szCs w:val="24"/>
          <w:lang w:val="en-US" w:eastAsia="zh-CN"/>
        </w:rPr>
      </w:pPr>
      <w:bookmarkStart w:id="31" w:name="_Toc25462"/>
      <w:r>
        <w:rPr>
          <w:rFonts w:hint="eastAsia"/>
          <w:sz w:val="30"/>
          <w:szCs w:val="24"/>
          <w:lang w:val="en-US" w:eastAsia="zh-CN"/>
        </w:rPr>
        <w:t>投保文件解密验证</w:t>
      </w:r>
      <w:bookmarkEnd w:id="30"/>
      <w:bookmarkEnd w:id="31"/>
    </w:p>
    <w:p w14:paraId="4146F472">
      <w:pPr>
        <w:rPr>
          <w:rFonts w:ascii="仿宋" w:hAnsi="仿宋" w:eastAsia="仿宋" w:cs="仿宋"/>
          <w:sz w:val="21"/>
          <w:szCs w:val="21"/>
        </w:rPr>
      </w:pPr>
    </w:p>
    <w:p w14:paraId="27B80CC3"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8595" cy="3367405"/>
            <wp:effectExtent l="0" t="0" r="8255" b="4445"/>
            <wp:docPr id="2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6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02516">
      <w:pPr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 w14:paraId="77D7F076"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 w14:paraId="0D279B9D"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投标文件解密验证，投标人/供应商可根据需求，选择</w:t>
      </w:r>
      <w:r>
        <w:rPr>
          <w:rFonts w:hint="eastAsia" w:ascii="仿宋" w:hAnsi="仿宋" w:eastAsia="仿宋" w:cs="仿宋"/>
          <w:bCs/>
          <w:sz w:val="21"/>
          <w:szCs w:val="21"/>
          <w:lang w:val="en-US" w:eastAsia="zh-CN"/>
        </w:rPr>
        <w:t>ca或者密码信封进行解密</w:t>
      </w:r>
      <w:r>
        <w:rPr>
          <w:rFonts w:hint="eastAsia" w:ascii="仿宋" w:hAnsi="仿宋" w:eastAsia="仿宋" w:cs="仿宋"/>
          <w:bCs/>
          <w:sz w:val="21"/>
          <w:szCs w:val="21"/>
        </w:rPr>
        <w:t>，验证文件是、是否能够解密成功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12752DFF">
      <w:pPr>
        <w:pStyle w:val="3"/>
        <w:numPr>
          <w:ilvl w:val="2"/>
          <w:numId w:val="2"/>
        </w:numPr>
        <w:bidi w:val="0"/>
        <w:spacing w:beforeLines="0" w:beforeAutospacing="0" w:afterLines="0" w:afterAutospacing="0"/>
        <w:ind w:left="0" w:leftChars="0" w:firstLine="402" w:firstLineChars="0"/>
        <w:rPr>
          <w:rFonts w:hint="eastAsia"/>
          <w:sz w:val="30"/>
          <w:szCs w:val="24"/>
          <w:lang w:val="en-US" w:eastAsia="zh-CN"/>
        </w:rPr>
      </w:pPr>
      <w:bookmarkStart w:id="32" w:name="_Toc14584"/>
      <w:bookmarkStart w:id="33" w:name="_Toc32681"/>
      <w:r>
        <w:rPr>
          <w:rFonts w:hint="eastAsia"/>
          <w:sz w:val="30"/>
          <w:szCs w:val="24"/>
          <w:lang w:val="en-US" w:eastAsia="zh-CN"/>
        </w:rPr>
        <w:t>PDF文件签章</w:t>
      </w:r>
      <w:bookmarkEnd w:id="32"/>
      <w:bookmarkEnd w:id="33"/>
    </w:p>
    <w:p w14:paraId="4AEBDA57"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5420" cy="3384550"/>
            <wp:effectExtent l="0" t="0" r="1905" b="6350"/>
            <wp:docPr id="2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E757F">
      <w:pPr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 w14:paraId="7215D8DB"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 w14:paraId="3607490D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点击PDF签章按钮，页面跳转到文件签章页面，上传本地文件可进行签章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79BBD8AB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单页签章，仅支持投标人/供应商一次签一个章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0595DD8B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多页签章，支持一次性签多个章，签章前需要输入签章的页码，投标人/供应商签章后会在需签章的页码的相同位置签章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7465B544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点击【保存】，在客户端安装目录下，生成签章文件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132A8955">
      <w:pPr>
        <w:spacing w:line="360" w:lineRule="auto"/>
        <w:rPr>
          <w:rFonts w:hint="eastAsia" w:ascii="仿宋" w:hAnsi="仿宋" w:eastAsia="仿宋" w:cs="仿宋"/>
          <w:bCs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点击【文件另存为】，投标人/供应商可自行选择文件存储路径</w:t>
      </w:r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；</w:t>
      </w:r>
    </w:p>
    <w:p w14:paraId="2D03992C">
      <w:pPr>
        <w:rPr>
          <w:rFonts w:ascii="仿宋" w:hAnsi="仿宋" w:eastAsia="仿宋" w:cs="仿宋"/>
          <w:sz w:val="21"/>
          <w:szCs w:val="21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81634399"/>
      <w:docPartObj>
        <w:docPartGallery w:val="autotext"/>
      </w:docPartObj>
    </w:sdtPr>
    <w:sdtContent>
      <w:p w14:paraId="50D2BF71">
        <w:pPr>
          <w:pStyle w:val="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 w14:paraId="4BDFAD1C">
    <w:pPr>
      <w:pStyle w:val="1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25399355"/>
      <w:docPartObj>
        <w:docPartGallery w:val="autotext"/>
      </w:docPartObj>
    </w:sdtPr>
    <w:sdtContent>
      <w:p w14:paraId="6F3E0D14">
        <w:pPr>
          <w:pStyle w:val="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 w14:paraId="68BED02C">
    <w:pPr>
      <w:pStyle w:val="1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80BB9B">
    <w:pPr>
      <w:pStyle w:val="14"/>
    </w:pPr>
    <w:r>
      <w:rPr>
        <w:rFonts w:hint="eastAsia"/>
        <w:szCs w:val="21"/>
        <w:u w:val="single"/>
      </w:rPr>
      <w:t>投标人&amp;供应商使用手册（202</w:t>
    </w:r>
    <w:r>
      <w:rPr>
        <w:rFonts w:hint="eastAsia"/>
        <w:szCs w:val="21"/>
        <w:u w:val="single"/>
        <w:lang w:val="en-US" w:eastAsia="zh-CN"/>
      </w:rPr>
      <w:t>5</w:t>
    </w:r>
    <w:r>
      <w:rPr>
        <w:rFonts w:hint="eastAsia"/>
        <w:szCs w:val="21"/>
        <w:u w:val="single"/>
      </w:rPr>
      <w:t>年，</w:t>
    </w:r>
    <w:r>
      <w:rPr>
        <w:szCs w:val="21"/>
        <w:u w:val="single"/>
      </w:rPr>
      <w:t>V</w:t>
    </w:r>
    <w:r>
      <w:rPr>
        <w:rFonts w:hint="eastAsia"/>
        <w:szCs w:val="21"/>
        <w:u w:val="single"/>
      </w:rPr>
      <w:t>1.0）</w:t>
    </w:r>
    <w:r>
      <w:rPr>
        <w:rFonts w:hint="eastAsia"/>
        <w:u w:val="single"/>
      </w:rPr>
      <w:t xml:space="preserve">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5C59C1"/>
    <w:multiLevelType w:val="multilevel"/>
    <w:tmpl w:val="435C59C1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460" w:hanging="4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D21710A"/>
    <w:multiLevelType w:val="multilevel"/>
    <w:tmpl w:val="4D21710A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xZWExZGU0NzAzMmZhNzYxMzVkZmNkNjE5NTdjYTEifQ=="/>
  </w:docVars>
  <w:rsids>
    <w:rsidRoot w:val="008E3C90"/>
    <w:rsid w:val="00041EA3"/>
    <w:rsid w:val="00055524"/>
    <w:rsid w:val="00074EFE"/>
    <w:rsid w:val="000D5B89"/>
    <w:rsid w:val="000F57BC"/>
    <w:rsid w:val="00145F45"/>
    <w:rsid w:val="001C6A5E"/>
    <w:rsid w:val="001E3D1C"/>
    <w:rsid w:val="00201829"/>
    <w:rsid w:val="00210B1C"/>
    <w:rsid w:val="00236B3D"/>
    <w:rsid w:val="00245096"/>
    <w:rsid w:val="0027701B"/>
    <w:rsid w:val="0029403E"/>
    <w:rsid w:val="002D6CBD"/>
    <w:rsid w:val="00300933"/>
    <w:rsid w:val="00317900"/>
    <w:rsid w:val="00331429"/>
    <w:rsid w:val="00345DCE"/>
    <w:rsid w:val="004013D1"/>
    <w:rsid w:val="00420DFA"/>
    <w:rsid w:val="00455C28"/>
    <w:rsid w:val="0048442D"/>
    <w:rsid w:val="004D19E7"/>
    <w:rsid w:val="004F2E27"/>
    <w:rsid w:val="00563BBB"/>
    <w:rsid w:val="006060EE"/>
    <w:rsid w:val="00606995"/>
    <w:rsid w:val="00621A9F"/>
    <w:rsid w:val="006621E7"/>
    <w:rsid w:val="00675342"/>
    <w:rsid w:val="006957BC"/>
    <w:rsid w:val="006A6ABA"/>
    <w:rsid w:val="00734C66"/>
    <w:rsid w:val="007470B0"/>
    <w:rsid w:val="0078093A"/>
    <w:rsid w:val="00785D3D"/>
    <w:rsid w:val="007872A9"/>
    <w:rsid w:val="00797C5F"/>
    <w:rsid w:val="00800463"/>
    <w:rsid w:val="0081367E"/>
    <w:rsid w:val="008347CE"/>
    <w:rsid w:val="00847B03"/>
    <w:rsid w:val="008E2B03"/>
    <w:rsid w:val="008E3C90"/>
    <w:rsid w:val="00902C91"/>
    <w:rsid w:val="00921FA8"/>
    <w:rsid w:val="009243FF"/>
    <w:rsid w:val="00936B24"/>
    <w:rsid w:val="0096039D"/>
    <w:rsid w:val="009944F2"/>
    <w:rsid w:val="00994F5D"/>
    <w:rsid w:val="009A5F37"/>
    <w:rsid w:val="009F7EB4"/>
    <w:rsid w:val="00A01808"/>
    <w:rsid w:val="00A12D24"/>
    <w:rsid w:val="00A16626"/>
    <w:rsid w:val="00A47060"/>
    <w:rsid w:val="00A865E3"/>
    <w:rsid w:val="00AB6E6A"/>
    <w:rsid w:val="00AD4BC3"/>
    <w:rsid w:val="00AE247F"/>
    <w:rsid w:val="00AE423B"/>
    <w:rsid w:val="00B76A63"/>
    <w:rsid w:val="00B913CA"/>
    <w:rsid w:val="00BC2ECD"/>
    <w:rsid w:val="00BD624F"/>
    <w:rsid w:val="00C42588"/>
    <w:rsid w:val="00C43A5D"/>
    <w:rsid w:val="00C97196"/>
    <w:rsid w:val="00CB52F3"/>
    <w:rsid w:val="00D306B5"/>
    <w:rsid w:val="00D67B69"/>
    <w:rsid w:val="00D952C8"/>
    <w:rsid w:val="00DD6E6A"/>
    <w:rsid w:val="00DE1E58"/>
    <w:rsid w:val="00DF1F99"/>
    <w:rsid w:val="00E44C6C"/>
    <w:rsid w:val="00E55D27"/>
    <w:rsid w:val="00E7199E"/>
    <w:rsid w:val="00E82FD0"/>
    <w:rsid w:val="00EE26F1"/>
    <w:rsid w:val="052A4100"/>
    <w:rsid w:val="056E319F"/>
    <w:rsid w:val="05C85ADE"/>
    <w:rsid w:val="0CFF6F4B"/>
    <w:rsid w:val="11834D8A"/>
    <w:rsid w:val="12F42131"/>
    <w:rsid w:val="15C2651E"/>
    <w:rsid w:val="165B2968"/>
    <w:rsid w:val="16952DAC"/>
    <w:rsid w:val="16EB25A7"/>
    <w:rsid w:val="17915A4D"/>
    <w:rsid w:val="18BD12B3"/>
    <w:rsid w:val="19CE07A7"/>
    <w:rsid w:val="1A665516"/>
    <w:rsid w:val="1AE463A3"/>
    <w:rsid w:val="1BE83906"/>
    <w:rsid w:val="1C550BC0"/>
    <w:rsid w:val="1CA7148E"/>
    <w:rsid w:val="1D772750"/>
    <w:rsid w:val="1DEF7606"/>
    <w:rsid w:val="1ED15BD3"/>
    <w:rsid w:val="1EE76FA8"/>
    <w:rsid w:val="20686C5A"/>
    <w:rsid w:val="207D1348"/>
    <w:rsid w:val="20F901DA"/>
    <w:rsid w:val="235B3B0A"/>
    <w:rsid w:val="23AC3673"/>
    <w:rsid w:val="276374A6"/>
    <w:rsid w:val="27BA1CA1"/>
    <w:rsid w:val="28996F99"/>
    <w:rsid w:val="29B824CD"/>
    <w:rsid w:val="2AC81660"/>
    <w:rsid w:val="2AD16712"/>
    <w:rsid w:val="2CC65456"/>
    <w:rsid w:val="305818AD"/>
    <w:rsid w:val="306D40D0"/>
    <w:rsid w:val="313E1FE2"/>
    <w:rsid w:val="31B42736"/>
    <w:rsid w:val="32D21A22"/>
    <w:rsid w:val="33814172"/>
    <w:rsid w:val="3595371A"/>
    <w:rsid w:val="362A0CCE"/>
    <w:rsid w:val="36634A2E"/>
    <w:rsid w:val="36FE2918"/>
    <w:rsid w:val="379E46EB"/>
    <w:rsid w:val="37D23591"/>
    <w:rsid w:val="395B1A00"/>
    <w:rsid w:val="3AAD7946"/>
    <w:rsid w:val="3B8223E2"/>
    <w:rsid w:val="3BBF5C24"/>
    <w:rsid w:val="3C7875E3"/>
    <w:rsid w:val="3CF9609A"/>
    <w:rsid w:val="3D510864"/>
    <w:rsid w:val="3F4A39C9"/>
    <w:rsid w:val="400E084B"/>
    <w:rsid w:val="4127729C"/>
    <w:rsid w:val="41D055C9"/>
    <w:rsid w:val="42F94370"/>
    <w:rsid w:val="442F4B37"/>
    <w:rsid w:val="457642AC"/>
    <w:rsid w:val="472807C5"/>
    <w:rsid w:val="477C12C3"/>
    <w:rsid w:val="48507097"/>
    <w:rsid w:val="4A160B5A"/>
    <w:rsid w:val="4A20699B"/>
    <w:rsid w:val="4A6B311E"/>
    <w:rsid w:val="4C1914DA"/>
    <w:rsid w:val="4F435A37"/>
    <w:rsid w:val="4F7223F7"/>
    <w:rsid w:val="50AA4376"/>
    <w:rsid w:val="51A95A48"/>
    <w:rsid w:val="55A228F1"/>
    <w:rsid w:val="597B1A35"/>
    <w:rsid w:val="5BFA7A21"/>
    <w:rsid w:val="5C52581E"/>
    <w:rsid w:val="5FE952F5"/>
    <w:rsid w:val="60D474E7"/>
    <w:rsid w:val="61144DFB"/>
    <w:rsid w:val="63175414"/>
    <w:rsid w:val="65905173"/>
    <w:rsid w:val="68F87312"/>
    <w:rsid w:val="6BFA0955"/>
    <w:rsid w:val="6E993AB6"/>
    <w:rsid w:val="6ED35F4E"/>
    <w:rsid w:val="70AA64E7"/>
    <w:rsid w:val="717E2995"/>
    <w:rsid w:val="731C6633"/>
    <w:rsid w:val="75836871"/>
    <w:rsid w:val="767E618C"/>
    <w:rsid w:val="77C86AA2"/>
    <w:rsid w:val="7B0277DC"/>
    <w:rsid w:val="7B17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rFonts w:ascii="Arial" w:hAnsi="Arial" w:eastAsiaTheme="minorEastAsia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8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33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29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Normal Indent"/>
    <w:basedOn w:val="1"/>
    <w:qFormat/>
    <w:uiPriority w:val="0"/>
    <w:pPr>
      <w:ind w:firstLine="420" w:firstLineChars="200"/>
    </w:pPr>
  </w:style>
  <w:style w:type="paragraph" w:styleId="9">
    <w:name w:val="toa heading"/>
    <w:basedOn w:val="1"/>
    <w:next w:val="1"/>
    <w:qFormat/>
    <w:uiPriority w:val="0"/>
    <w:pPr>
      <w:spacing w:before="120"/>
    </w:pPr>
    <w:rPr>
      <w:rFonts w:ascii="Arial" w:hAnsi="Arial"/>
    </w:rPr>
  </w:style>
  <w:style w:type="paragraph" w:styleId="10">
    <w:name w:val="toc 5"/>
    <w:basedOn w:val="1"/>
    <w:next w:val="1"/>
    <w:qFormat/>
    <w:uiPriority w:val="0"/>
    <w:pPr>
      <w:ind w:left="1680" w:leftChars="800"/>
    </w:pPr>
  </w:style>
  <w:style w:type="paragraph" w:styleId="11">
    <w:name w:val="toc 3"/>
    <w:basedOn w:val="1"/>
    <w:next w:val="1"/>
    <w:qFormat/>
    <w:uiPriority w:val="39"/>
    <w:pPr>
      <w:ind w:left="840" w:leftChars="400"/>
    </w:pPr>
  </w:style>
  <w:style w:type="paragraph" w:styleId="12">
    <w:name w:val="Balloon Text"/>
    <w:basedOn w:val="1"/>
    <w:link w:val="32"/>
    <w:qFormat/>
    <w:uiPriority w:val="0"/>
    <w:rPr>
      <w:sz w:val="18"/>
      <w:szCs w:val="18"/>
    </w:rPr>
  </w:style>
  <w:style w:type="paragraph" w:styleId="13">
    <w:name w:val="footer"/>
    <w:basedOn w:val="1"/>
    <w:link w:val="3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5">
    <w:name w:val="toc 1"/>
    <w:basedOn w:val="1"/>
    <w:next w:val="1"/>
    <w:qFormat/>
    <w:uiPriority w:val="39"/>
    <w:rPr>
      <w:rFonts w:eastAsia="仿宋"/>
      <w:sz w:val="21"/>
    </w:rPr>
  </w:style>
  <w:style w:type="paragraph" w:styleId="16">
    <w:name w:val="toc 4"/>
    <w:basedOn w:val="1"/>
    <w:next w:val="1"/>
    <w:qFormat/>
    <w:uiPriority w:val="0"/>
    <w:pPr>
      <w:ind w:left="1260" w:leftChars="600"/>
    </w:pPr>
  </w:style>
  <w:style w:type="paragraph" w:styleId="17">
    <w:name w:val="toc 2"/>
    <w:basedOn w:val="1"/>
    <w:next w:val="1"/>
    <w:qFormat/>
    <w:uiPriority w:val="39"/>
    <w:pPr>
      <w:ind w:left="420" w:leftChars="200"/>
    </w:pPr>
  </w:style>
  <w:style w:type="paragraph" w:styleId="18">
    <w:name w:val="Body Text 2"/>
    <w:basedOn w:val="1"/>
    <w:qFormat/>
    <w:uiPriority w:val="0"/>
    <w:pPr>
      <w:widowControl/>
      <w:jc w:val="left"/>
    </w:pPr>
    <w:rPr>
      <w:rFonts w:ascii="宋体" w:hAnsi="Times New Roman" w:cs="Times New Roman"/>
      <w:kern w:val="0"/>
      <w:sz w:val="28"/>
      <w:szCs w:val="20"/>
    </w:rPr>
  </w:style>
  <w:style w:type="paragraph" w:styleId="19">
    <w:name w:val="Title"/>
    <w:basedOn w:val="1"/>
    <w:next w:val="1"/>
    <w:link w:val="34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21">
    <w:name w:val="Table Grid"/>
    <w:basedOn w:val="20"/>
    <w:qFormat/>
    <w:uiPriority w:val="39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FollowedHyperlink"/>
    <w:basedOn w:val="22"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24">
    <w:name w:val="Hyperlink"/>
    <w:basedOn w:val="2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5">
    <w:name w:val="标题 1 Char"/>
    <w:link w:val="2"/>
    <w:qFormat/>
    <w:uiPriority w:val="0"/>
    <w:rPr>
      <w:rFonts w:ascii="Arial" w:hAnsi="Arial" w:eastAsiaTheme="minorEastAsia"/>
      <w:b/>
      <w:bCs/>
      <w:kern w:val="44"/>
      <w:sz w:val="44"/>
      <w:szCs w:val="44"/>
    </w:rPr>
  </w:style>
  <w:style w:type="character" w:customStyle="1" w:styleId="26">
    <w:name w:val="样式1"/>
    <w:basedOn w:val="22"/>
    <w:qFormat/>
    <w:uiPriority w:val="0"/>
    <w:rPr>
      <w:rFonts w:ascii="Calibri" w:hAnsi="Calibri"/>
    </w:rPr>
  </w:style>
  <w:style w:type="paragraph" w:customStyle="1" w:styleId="27">
    <w:name w:val="样式2"/>
    <w:basedOn w:val="2"/>
    <w:next w:val="1"/>
    <w:qFormat/>
    <w:uiPriority w:val="0"/>
  </w:style>
  <w:style w:type="character" w:customStyle="1" w:styleId="28">
    <w:name w:val="标题 2 Char"/>
    <w:link w:val="3"/>
    <w:qFormat/>
    <w:uiPriority w:val="0"/>
    <w:rPr>
      <w:rFonts w:ascii="Arial" w:hAnsi="Arial" w:eastAsia="黑体"/>
      <w:b/>
      <w:sz w:val="32"/>
    </w:rPr>
  </w:style>
  <w:style w:type="character" w:customStyle="1" w:styleId="29">
    <w:name w:val="标题 5 Char"/>
    <w:basedOn w:val="22"/>
    <w:link w:val="6"/>
    <w:qFormat/>
    <w:uiPriority w:val="0"/>
    <w:rPr>
      <w:rFonts w:asciiTheme="minorHAnsi" w:hAnsiTheme="minorHAnsi" w:cstheme="minorBidi"/>
      <w:b/>
      <w:bCs/>
      <w:kern w:val="2"/>
      <w:sz w:val="28"/>
      <w:szCs w:val="28"/>
    </w:rPr>
  </w:style>
  <w:style w:type="paragraph" w:customStyle="1" w:styleId="30">
    <w:name w:val="TOC 标题1"/>
    <w:basedOn w:val="2"/>
    <w:next w:val="1"/>
    <w:semiHidden/>
    <w:unhideWhenUsed/>
    <w:qFormat/>
    <w:uiPriority w:val="39"/>
    <w:pPr>
      <w:outlineLvl w:val="9"/>
    </w:pPr>
    <w:rPr>
      <w:rFonts w:eastAsia="宋体" w:asciiTheme="minorHAnsi" w:hAnsiTheme="minorHAnsi"/>
    </w:rPr>
  </w:style>
  <w:style w:type="paragraph" w:styleId="31">
    <w:name w:val="List Paragraph"/>
    <w:basedOn w:val="1"/>
    <w:qFormat/>
    <w:uiPriority w:val="99"/>
    <w:pPr>
      <w:ind w:firstLine="420" w:firstLineChars="200"/>
    </w:pPr>
  </w:style>
  <w:style w:type="character" w:customStyle="1" w:styleId="32">
    <w:name w:val="批注框文本 Char"/>
    <w:basedOn w:val="22"/>
    <w:link w:val="12"/>
    <w:qFormat/>
    <w:uiPriority w:val="0"/>
    <w:rPr>
      <w:rFonts w:asciiTheme="minorHAnsi" w:hAnsiTheme="minorHAnsi" w:cstheme="minorBidi"/>
      <w:kern w:val="2"/>
      <w:sz w:val="18"/>
      <w:szCs w:val="18"/>
    </w:rPr>
  </w:style>
  <w:style w:type="character" w:customStyle="1" w:styleId="33">
    <w:name w:val="标题 3 Char"/>
    <w:basedOn w:val="22"/>
    <w:link w:val="4"/>
    <w:qFormat/>
    <w:uiPriority w:val="0"/>
    <w:rPr>
      <w:rFonts w:asciiTheme="minorHAnsi" w:hAnsiTheme="minorHAnsi" w:cstheme="minorBidi"/>
      <w:b/>
      <w:kern w:val="2"/>
      <w:sz w:val="32"/>
      <w:szCs w:val="22"/>
    </w:rPr>
  </w:style>
  <w:style w:type="character" w:customStyle="1" w:styleId="34">
    <w:name w:val="标题 Char"/>
    <w:basedOn w:val="22"/>
    <w:link w:val="19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35">
    <w:name w:val="未处理的提及1"/>
    <w:basedOn w:val="22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36">
    <w:name w:val="文档小标题"/>
    <w:basedOn w:val="1"/>
    <w:next w:val="8"/>
    <w:qFormat/>
    <w:uiPriority w:val="0"/>
    <w:pPr>
      <w:spacing w:line="360" w:lineRule="auto"/>
      <w:jc w:val="center"/>
    </w:pPr>
    <w:rPr>
      <w:rFonts w:ascii="Times New Roman" w:hAnsi="Times New Roman" w:eastAsia="楷体_GB2312" w:cs="Times New Roman"/>
      <w:b/>
      <w:kern w:val="0"/>
      <w:sz w:val="30"/>
      <w:szCs w:val="72"/>
    </w:rPr>
  </w:style>
  <w:style w:type="character" w:customStyle="1" w:styleId="37">
    <w:name w:val="页脚 Char"/>
    <w:basedOn w:val="22"/>
    <w:link w:val="13"/>
    <w:qFormat/>
    <w:uiPriority w:val="99"/>
    <w:rPr>
      <w:rFonts w:asciiTheme="minorHAnsi" w:hAnsiTheme="minorHAnsi" w:cstheme="minorBidi"/>
      <w:kern w:val="2"/>
      <w:sz w:val="18"/>
      <w:szCs w:val="22"/>
    </w:rPr>
  </w:style>
  <w:style w:type="table" w:customStyle="1" w:styleId="3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9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numbering" Target="numbering.xml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3FE1E-8C4F-47EF-A0A3-47B4720A1A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15</Pages>
  <Words>1728</Words>
  <Characters>1976</Characters>
  <Lines>103</Lines>
  <Paragraphs>29</Paragraphs>
  <TotalTime>4</TotalTime>
  <ScaleCrop>false</ScaleCrop>
  <LinksUpToDate>false</LinksUpToDate>
  <CharactersWithSpaces>2062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2020-07-07T07:21:00Z</dcterms:created>
  <dc:creator>Administrator</dc:creator>
  <cp:lastModifiedBy>喝酸奶舔盖儿</cp:lastModifiedBy>
  <dcterms:modified xsi:type="dcterms:W3CDTF">2025-06-26T07:17:41Z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30EBFE2A4DE2494CA9AAA97E89C1E164</vt:lpwstr>
  </property>
  <property fmtid="{D5CDD505-2E9C-101B-9397-08002B2CF9AE}" pid="4" name="KSOTemplateDocerSaveRecord">
    <vt:lpwstr>eyJoZGlkIjoiMGI4NWUyZmJhMjc4YmEzYjVkMDcyNTFhYjRlY2UyYjUiLCJ1c2VySWQiOiIxMjAzNTcyNTg1In0=</vt:lpwstr>
  </property>
</Properties>
</file>