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bidi w:val="0"/>
        <w:spacing w:line="360" w:lineRule="auto"/>
        <w:ind w:left="0" w:leftChars="0" w:firstLine="0" w:firstLineChars="0"/>
        <w:jc w:val="center"/>
        <w:rPr>
          <w:rFonts w:hint="eastAsia" w:ascii="黑体" w:hAnsi="黑体" w:eastAsia="黑体" w:cs="黑体"/>
          <w:b/>
          <w:bCs/>
          <w:sz w:val="60"/>
          <w:szCs w:val="6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60"/>
          <w:szCs w:val="60"/>
          <w:lang w:val="en-US" w:eastAsia="zh-CN"/>
        </w:rPr>
        <w:t>“电科招采”电子采购平台</w:t>
      </w:r>
    </w:p>
    <w:p>
      <w:pPr>
        <w:jc w:val="center"/>
        <w:rPr>
          <w:rFonts w:hint="default"/>
          <w:b/>
          <w:bCs/>
          <w:sz w:val="48"/>
          <w:szCs w:val="48"/>
          <w:lang w:val="en-US" w:eastAsia="zh-CN"/>
        </w:rPr>
      </w:pPr>
      <w:r>
        <w:rPr>
          <w:rFonts w:hint="eastAsia"/>
          <w:b/>
          <w:bCs/>
          <w:sz w:val="48"/>
          <w:szCs w:val="48"/>
          <w:lang w:val="en-US" w:eastAsia="zh-CN"/>
        </w:rPr>
        <w:t>集采供应商报价操作指引</w:t>
      </w:r>
    </w:p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>
      <w:pPr>
        <w:jc w:val="both"/>
        <w:rPr>
          <w:rFonts w:hint="eastAsia"/>
          <w:b/>
          <w:bCs/>
          <w:sz w:val="44"/>
          <w:szCs w:val="44"/>
          <w:lang w:eastAsia="zh-CN"/>
        </w:rPr>
      </w:pPr>
    </w:p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>
      <w:pPr>
        <w:spacing w:line="360" w:lineRule="auto"/>
        <w:ind w:left="0" w:leftChars="0" w:firstLine="0" w:firstLineChars="0"/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上海汇招信息技术有限公司</w:t>
      </w:r>
    </w:p>
    <w:p>
      <w:pPr>
        <w:spacing w:line="360" w:lineRule="auto"/>
        <w:ind w:left="0" w:leftChars="0" w:firstLine="0" w:firstLineChars="0"/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202</w:t>
      </w:r>
      <w:r>
        <w:rPr>
          <w:rFonts w:hint="eastAsia" w:ascii="黑体" w:hAnsi="黑体" w:eastAsia="黑体"/>
          <w:sz w:val="36"/>
          <w:szCs w:val="36"/>
          <w:lang w:val="en-US" w:eastAsia="zh-CN"/>
        </w:rPr>
        <w:t>6</w:t>
      </w:r>
      <w:r>
        <w:rPr>
          <w:rFonts w:hint="eastAsia" w:ascii="黑体" w:hAnsi="黑体" w:eastAsia="黑体"/>
          <w:sz w:val="36"/>
          <w:szCs w:val="36"/>
        </w:rPr>
        <w:t xml:space="preserve"> 年 0</w:t>
      </w:r>
      <w:r>
        <w:rPr>
          <w:rFonts w:hint="eastAsia" w:ascii="黑体" w:hAnsi="黑体" w:eastAsia="黑体"/>
          <w:sz w:val="36"/>
          <w:szCs w:val="36"/>
          <w:lang w:val="en-US" w:eastAsia="zh-CN"/>
        </w:rPr>
        <w:t xml:space="preserve">4 </w:t>
      </w:r>
      <w:r>
        <w:rPr>
          <w:rFonts w:hint="eastAsia" w:ascii="黑体" w:hAnsi="黑体" w:eastAsia="黑体"/>
          <w:sz w:val="36"/>
          <w:szCs w:val="36"/>
        </w:rPr>
        <w:t>月</w:t>
      </w:r>
    </w:p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br w:type="page"/>
      </w:r>
    </w:p>
    <w:p>
      <w:pPr>
        <w:spacing w:before="91" w:line="360" w:lineRule="auto"/>
        <w:ind w:left="130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3"/>
          <w:sz w:val="28"/>
          <w:szCs w:val="28"/>
        </w:rPr>
        <w:t>修订记录</w:t>
      </w:r>
    </w:p>
    <w:p>
      <w:pPr>
        <w:spacing w:line="360" w:lineRule="auto"/>
      </w:pPr>
    </w:p>
    <w:tbl>
      <w:tblPr>
        <w:tblStyle w:val="15"/>
        <w:tblW w:w="8528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6"/>
        <w:gridCol w:w="1291"/>
        <w:gridCol w:w="1864"/>
        <w:gridCol w:w="1386"/>
        <w:gridCol w:w="3081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906" w:type="dxa"/>
            <w:shd w:val="clear" w:color="auto" w:fill="E0E0E0"/>
            <w:vAlign w:val="center"/>
          </w:tcPr>
          <w:p>
            <w:pPr>
              <w:spacing w:before="138"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291" w:type="dxa"/>
            <w:shd w:val="clear" w:color="auto" w:fill="E0E0E0"/>
            <w:vAlign w:val="center"/>
          </w:tcPr>
          <w:p>
            <w:pPr>
              <w:spacing w:before="139"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版本号</w:t>
            </w:r>
          </w:p>
        </w:tc>
        <w:tc>
          <w:tcPr>
            <w:tcW w:w="1864" w:type="dxa"/>
            <w:shd w:val="clear" w:color="auto" w:fill="E0E0E0"/>
            <w:vAlign w:val="center"/>
          </w:tcPr>
          <w:p>
            <w:pPr>
              <w:spacing w:before="139"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  <w:szCs w:val="24"/>
                <w:lang w:val="en-US" w:eastAsia="zh-CN"/>
              </w:rPr>
              <w:t>修订时间</w:t>
            </w:r>
          </w:p>
        </w:tc>
        <w:tc>
          <w:tcPr>
            <w:tcW w:w="1386" w:type="dxa"/>
            <w:shd w:val="clear" w:color="auto" w:fill="E0E0E0"/>
            <w:vAlign w:val="center"/>
          </w:tcPr>
          <w:p>
            <w:pPr>
              <w:spacing w:before="139" w:line="360" w:lineRule="auto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6"/>
                <w:sz w:val="24"/>
                <w:szCs w:val="24"/>
                <w:lang w:val="en-US" w:eastAsia="zh-CN"/>
              </w:rPr>
              <w:t>修订人员</w:t>
            </w:r>
          </w:p>
        </w:tc>
        <w:tc>
          <w:tcPr>
            <w:tcW w:w="3081" w:type="dxa"/>
            <w:shd w:val="clear" w:color="auto" w:fill="E0E0E0"/>
            <w:vAlign w:val="center"/>
          </w:tcPr>
          <w:p>
            <w:pPr>
              <w:spacing w:before="139" w:line="360" w:lineRule="auto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6"/>
                <w:sz w:val="24"/>
                <w:szCs w:val="24"/>
                <w:lang w:val="en-US" w:eastAsia="zh-CN"/>
              </w:rPr>
              <w:t>修订说明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  <w:jc w:val="center"/>
        </w:trPr>
        <w:tc>
          <w:tcPr>
            <w:tcW w:w="906" w:type="dxa"/>
            <w:vAlign w:val="center"/>
          </w:tcPr>
          <w:p>
            <w:pPr>
              <w:spacing w:before="177" w:line="360" w:lineRule="auto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91" w:type="dxa"/>
            <w:vAlign w:val="center"/>
          </w:tcPr>
          <w:p>
            <w:pPr>
              <w:spacing w:before="134" w:line="360" w:lineRule="auto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V</w:t>
            </w:r>
            <w:r>
              <w:rPr>
                <w:rFonts w:hint="eastAsia" w:ascii="仿宋" w:hAnsi="仿宋" w:cs="仿宋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864" w:type="dxa"/>
            <w:vAlign w:val="center"/>
          </w:tcPr>
          <w:p>
            <w:pPr>
              <w:tabs>
                <w:tab w:val="center" w:pos="634"/>
              </w:tabs>
              <w:spacing w:before="177" w:line="360" w:lineRule="auto"/>
              <w:ind w:left="0" w:leftChars="0" w:firstLine="0" w:firstLineChars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202</w:t>
            </w:r>
            <w:r>
              <w:rPr>
                <w:rFonts w:hint="eastAsia" w:ascii="仿宋" w:hAnsi="仿宋" w:cs="仿宋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-0</w:t>
            </w:r>
            <w:r>
              <w:rPr>
                <w:rFonts w:hint="eastAsia" w:ascii="仿宋" w:hAnsi="仿宋" w:cs="仿宋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-</w:t>
            </w:r>
            <w:r>
              <w:rPr>
                <w:rFonts w:hint="eastAsia" w:ascii="仿宋" w:hAnsi="仿宋" w:cs="仿宋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386" w:type="dxa"/>
            <w:vAlign w:val="center"/>
          </w:tcPr>
          <w:p>
            <w:pPr>
              <w:spacing w:before="134"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xxx</w:t>
            </w:r>
          </w:p>
        </w:tc>
        <w:tc>
          <w:tcPr>
            <w:tcW w:w="3081" w:type="dxa"/>
            <w:vAlign w:val="center"/>
          </w:tcPr>
          <w:p>
            <w:pPr>
              <w:spacing w:before="134"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初稿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  <w:jc w:val="center"/>
        </w:trPr>
        <w:tc>
          <w:tcPr>
            <w:tcW w:w="906" w:type="dxa"/>
            <w:vAlign w:val="center"/>
          </w:tcPr>
          <w:p>
            <w:pPr>
              <w:spacing w:before="177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91" w:type="dxa"/>
            <w:vAlign w:val="center"/>
          </w:tcPr>
          <w:p>
            <w:pPr>
              <w:pStyle w:val="16"/>
              <w:spacing w:line="360" w:lineRule="auto"/>
              <w:jc w:val="center"/>
            </w:pPr>
          </w:p>
        </w:tc>
        <w:tc>
          <w:tcPr>
            <w:tcW w:w="1864" w:type="dxa"/>
            <w:vAlign w:val="center"/>
          </w:tcPr>
          <w:p>
            <w:pPr>
              <w:pStyle w:val="16"/>
              <w:spacing w:line="360" w:lineRule="auto"/>
              <w:jc w:val="center"/>
            </w:pPr>
          </w:p>
        </w:tc>
        <w:tc>
          <w:tcPr>
            <w:tcW w:w="1386" w:type="dxa"/>
            <w:vAlign w:val="center"/>
          </w:tcPr>
          <w:p>
            <w:pPr>
              <w:pStyle w:val="16"/>
              <w:spacing w:line="360" w:lineRule="auto"/>
              <w:jc w:val="center"/>
            </w:pPr>
          </w:p>
        </w:tc>
        <w:tc>
          <w:tcPr>
            <w:tcW w:w="3081" w:type="dxa"/>
            <w:vAlign w:val="center"/>
          </w:tcPr>
          <w:p>
            <w:pPr>
              <w:pStyle w:val="16"/>
              <w:spacing w:line="360" w:lineRule="auto"/>
              <w:jc w:val="center"/>
            </w:pPr>
            <w:bookmarkStart w:id="10" w:name="_GoBack"/>
            <w:bookmarkEnd w:id="10"/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  <w:jc w:val="center"/>
        </w:trPr>
        <w:tc>
          <w:tcPr>
            <w:tcW w:w="906" w:type="dxa"/>
            <w:vAlign w:val="center"/>
          </w:tcPr>
          <w:p>
            <w:pPr>
              <w:spacing w:before="177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291" w:type="dxa"/>
            <w:vAlign w:val="center"/>
          </w:tcPr>
          <w:p>
            <w:pPr>
              <w:pStyle w:val="16"/>
              <w:spacing w:line="360" w:lineRule="auto"/>
              <w:jc w:val="center"/>
            </w:pPr>
          </w:p>
        </w:tc>
        <w:tc>
          <w:tcPr>
            <w:tcW w:w="1864" w:type="dxa"/>
            <w:vAlign w:val="center"/>
          </w:tcPr>
          <w:p>
            <w:pPr>
              <w:pStyle w:val="16"/>
              <w:spacing w:line="360" w:lineRule="auto"/>
              <w:jc w:val="center"/>
            </w:pPr>
          </w:p>
        </w:tc>
        <w:tc>
          <w:tcPr>
            <w:tcW w:w="1386" w:type="dxa"/>
            <w:vAlign w:val="center"/>
          </w:tcPr>
          <w:p>
            <w:pPr>
              <w:pStyle w:val="16"/>
              <w:spacing w:line="360" w:lineRule="auto"/>
              <w:jc w:val="center"/>
            </w:pPr>
          </w:p>
        </w:tc>
        <w:tc>
          <w:tcPr>
            <w:tcW w:w="3081" w:type="dxa"/>
            <w:vAlign w:val="center"/>
          </w:tcPr>
          <w:p>
            <w:pPr>
              <w:pStyle w:val="16"/>
              <w:spacing w:line="360" w:lineRule="auto"/>
              <w:jc w:val="center"/>
            </w:pPr>
          </w:p>
        </w:tc>
      </w:tr>
    </w:tbl>
    <w:p>
      <w:pPr>
        <w:rPr>
          <w:rFonts w:hint="default"/>
          <w:b/>
          <w:bCs/>
          <w:sz w:val="44"/>
          <w:szCs w:val="44"/>
          <w:lang w:val="en-US" w:eastAsia="zh-CN"/>
        </w:rPr>
      </w:pPr>
      <w:r>
        <w:rPr>
          <w:rFonts w:hint="default"/>
          <w:b/>
          <w:bCs/>
          <w:sz w:val="44"/>
          <w:szCs w:val="44"/>
          <w:lang w:val="en-US" w:eastAsia="zh-CN"/>
        </w:rPr>
        <w:br w:type="page"/>
      </w: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54021"/>
        <w15:color w:val="DBDBDB"/>
        <w:docPartObj>
          <w:docPartGallery w:val="Table of Contents"/>
          <w:docPartUnique/>
        </w:docPartObj>
      </w:sdtPr>
      <w:sdtEnd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8"/>
            <w:tabs>
              <w:tab w:val="right" w:leader="dot" w:pos="8306"/>
            </w:tabs>
          </w:pPr>
          <w:r>
            <w:fldChar w:fldCharType="begin"/>
          </w:r>
          <w:r>
            <w:instrText xml:space="preserve">TOC \o "1-3" \h \u </w:instrText>
          </w:r>
          <w:r>
            <w:fldChar w:fldCharType="separate"/>
          </w:r>
          <w:r>
            <w:fldChar w:fldCharType="begin"/>
          </w:r>
          <w:r>
            <w:instrText xml:space="preserve"> HYPERLINK \l _Toc31646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一、 登录页面</w:t>
          </w:r>
          <w:r>
            <w:tab/>
          </w:r>
          <w:r>
            <w:fldChar w:fldCharType="begin"/>
          </w:r>
          <w:r>
            <w:instrText xml:space="preserve"> PAGEREF _Toc31646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_Toc18528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1． 门户登录</w:t>
          </w:r>
          <w:r>
            <w:tab/>
          </w:r>
          <w:r>
            <w:fldChar w:fldCharType="begin"/>
          </w:r>
          <w:r>
            <w:instrText xml:space="preserve"> PAGEREF _Toc18528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_Toc29045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2． 直接登录</w:t>
          </w:r>
          <w:r>
            <w:tab/>
          </w:r>
          <w:r>
            <w:fldChar w:fldCharType="begin"/>
          </w:r>
          <w:r>
            <w:instrText xml:space="preserve"> PAGEREF _Toc29045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8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_Toc15700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二、 首页</w:t>
          </w:r>
          <w:r>
            <w:tab/>
          </w:r>
          <w:r>
            <w:fldChar w:fldCharType="begin"/>
          </w:r>
          <w:r>
            <w:instrText xml:space="preserve"> PAGEREF _Toc15700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8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_Toc25809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三、 客户端文件签章</w:t>
          </w:r>
          <w:r>
            <w:tab/>
          </w:r>
          <w:r>
            <w:fldChar w:fldCharType="begin"/>
          </w:r>
          <w:r>
            <w:instrText xml:space="preserve"> PAGEREF _Toc25809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_Toc27585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（1） PDF文件签章</w:t>
          </w:r>
          <w:r>
            <w:tab/>
          </w:r>
          <w:r>
            <w:fldChar w:fldCharType="begin"/>
          </w:r>
          <w:r>
            <w:instrText xml:space="preserve"> PAGEREF _Toc27585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_Toc17064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（2） CA绑定</w:t>
          </w:r>
          <w:r>
            <w:tab/>
          </w:r>
          <w:r>
            <w:fldChar w:fldCharType="begin"/>
          </w:r>
          <w:r>
            <w:instrText xml:space="preserve"> PAGEREF _Toc17064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_Toc3837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（3） 供应商报价</w:t>
          </w:r>
          <w:r>
            <w:tab/>
          </w:r>
          <w:r>
            <w:fldChar w:fldCharType="begin"/>
          </w:r>
          <w:r>
            <w:instrText xml:space="preserve"> PAGEREF _Toc3837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r>
            <w:fldChar w:fldCharType="end"/>
          </w:r>
        </w:p>
      </w:sdtContent>
    </w:sdt>
    <w:p>
      <w:pPr>
        <w:pStyle w:val="2"/>
        <w:numPr>
          <w:ilvl w:val="0"/>
          <w:numId w:val="1"/>
        </w:numPr>
        <w:bidi w:val="0"/>
        <w:rPr>
          <w:rFonts w:hint="eastAsia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p>
      <w:pPr>
        <w:pStyle w:val="2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bookmarkStart w:id="0" w:name="_Toc31646"/>
      <w:r>
        <w:rPr>
          <w:rFonts w:hint="eastAsia"/>
          <w:lang w:val="en-US" w:eastAsia="zh-CN"/>
        </w:rPr>
        <w:t>登录页面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登录分为两种方式，第一种为从门户点击用户登录按钮进入直接登录页面（门户登录_图1）；第二种直接访问登录地址登录，如（密码登录_图1）。</w:t>
      </w:r>
    </w:p>
    <w:p>
      <w:pPr>
        <w:pStyle w:val="3"/>
        <w:numPr>
          <w:ilvl w:val="1"/>
          <w:numId w:val="2"/>
        </w:numPr>
        <w:bidi w:val="0"/>
        <w:rPr>
          <w:rFonts w:hint="eastAsia"/>
          <w:lang w:val="en-US" w:eastAsia="zh-CN"/>
        </w:rPr>
      </w:pPr>
      <w:bookmarkStart w:id="1" w:name="_Toc23148"/>
      <w:bookmarkStart w:id="2" w:name="_Toc18528"/>
      <w:r>
        <w:rPr>
          <w:rFonts w:hint="eastAsia"/>
          <w:lang w:val="en-US" w:eastAsia="zh-CN"/>
        </w:rPr>
        <w:t>门户登录</w:t>
      </w:r>
      <w:bookmarkEnd w:id="1"/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供应商打开浏览器，在地址导航栏输入地址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u w:val="none"/>
          <w:lang w:val="en-US" w:eastAsia="zh-CN"/>
        </w:rPr>
        <w:fldChar w:fldCharType="begin"/>
      </w:r>
      <w:r>
        <w:rPr>
          <w:rFonts w:hint="eastAsia" w:ascii="仿宋" w:hAnsi="仿宋" w:eastAsia="仿宋" w:cs="仿宋"/>
          <w:color w:val="auto"/>
          <w:sz w:val="24"/>
          <w:szCs w:val="24"/>
          <w:u w:val="none"/>
          <w:lang w:val="en-US" w:eastAsia="zh-CN"/>
        </w:rPr>
        <w:instrText xml:space="preserve"> HYPERLINK "https://www.cfet.com.cn" </w:instrText>
      </w:r>
      <w:r>
        <w:rPr>
          <w:rFonts w:hint="eastAsia" w:ascii="仿宋" w:hAnsi="仿宋" w:eastAsia="仿宋" w:cs="仿宋"/>
          <w:color w:val="auto"/>
          <w:sz w:val="24"/>
          <w:szCs w:val="24"/>
          <w:u w:val="none"/>
          <w:lang w:val="en-US" w:eastAsia="zh-CN"/>
        </w:rPr>
        <w:fldChar w:fldCharType="separate"/>
      </w:r>
      <w:r>
        <w:rPr>
          <w:rStyle w:val="13"/>
          <w:rFonts w:hint="eastAsia" w:ascii="仿宋" w:hAnsi="仿宋" w:eastAsia="仿宋" w:cs="仿宋"/>
          <w:sz w:val="24"/>
          <w:szCs w:val="24"/>
          <w:lang w:val="en-US" w:eastAsia="zh-CN"/>
        </w:rPr>
        <w:t>https://www.cfet.com.cn</w:t>
      </w:r>
      <w:r>
        <w:rPr>
          <w:rFonts w:hint="eastAsia" w:ascii="仿宋" w:hAnsi="仿宋" w:eastAsia="仿宋" w:cs="仿宋"/>
          <w:color w:val="auto"/>
          <w:sz w:val="24"/>
          <w:szCs w:val="24"/>
          <w:u w:val="none"/>
          <w:lang w:val="en-US" w:eastAsia="zh-CN"/>
        </w:rPr>
        <w:fldChar w:fldCharType="end"/>
      </w:r>
      <w:r>
        <w:rPr>
          <w:rFonts w:hint="eastAsia"/>
          <w:sz w:val="24"/>
          <w:szCs w:val="24"/>
          <w:lang w:val="en-US" w:eastAsia="zh-CN"/>
        </w:rPr>
        <w:t>打开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CETC</w:t>
      </w:r>
      <w:r>
        <w:rPr>
          <w:rFonts w:hint="eastAsia"/>
          <w:sz w:val="24"/>
          <w:szCs w:val="24"/>
          <w:lang w:val="en-US" w:eastAsia="zh-CN"/>
        </w:rPr>
        <w:t>电科招采门户网站，如（门户登录_图1”）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3141980" cy="8192135"/>
            <wp:effectExtent l="0" t="0" r="1270" b="8890"/>
            <wp:docPr id="2" name="图片 2" descr="CETC电科招采门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ETC电科招采门户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41980" cy="819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门户登录_图1</w:t>
      </w:r>
    </w:p>
    <w:p>
      <w:pPr>
        <w:pStyle w:val="3"/>
        <w:numPr>
          <w:ilvl w:val="1"/>
          <w:numId w:val="2"/>
        </w:numPr>
        <w:bidi w:val="0"/>
        <w:rPr>
          <w:rFonts w:hint="eastAsia"/>
          <w:lang w:val="en-US" w:eastAsia="zh-CN"/>
        </w:rPr>
      </w:pPr>
      <w:bookmarkStart w:id="3" w:name="_Toc1183"/>
      <w:bookmarkStart w:id="4" w:name="_Toc29045"/>
      <w:r>
        <w:rPr>
          <w:rFonts w:hint="eastAsia"/>
          <w:lang w:val="en-US" w:eastAsia="zh-CN"/>
        </w:rPr>
        <w:t>直接登录</w:t>
      </w:r>
      <w:bookmarkEnd w:id="3"/>
      <w:bookmarkEnd w:id="4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供应商打开浏览器，在地址导航栏输入地址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fldChar w:fldCharType="begin"/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instrText xml:space="preserve"> HYPERLINK "https://www.cfet.com.cn/ebidding/" \l "/login" </w:instrTex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fldChar w:fldCharType="separate"/>
      </w:r>
      <w:r>
        <w:rPr>
          <w:rStyle w:val="13"/>
          <w:rFonts w:hint="eastAsia" w:asciiTheme="minorEastAsia" w:hAnsiTheme="minorEastAsia"/>
          <w:sz w:val="24"/>
          <w:szCs w:val="24"/>
          <w:lang w:val="en-US" w:eastAsia="zh-CN"/>
        </w:rPr>
        <w:t>https://www.cfet.com.cn/ebidding/#/login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fldChar w:fldCharType="end"/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打开远东招标电子采购平台网站</w:t>
      </w:r>
      <w:r>
        <w:rPr>
          <w:rFonts w:hint="eastAsia"/>
          <w:sz w:val="24"/>
          <w:szCs w:val="24"/>
          <w:lang w:val="en-US" w:eastAsia="zh-CN"/>
        </w:rPr>
        <w:t>，如（密码登录_图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</w:t>
      </w:r>
      <w:r>
        <w:rPr>
          <w:rFonts w:hint="eastAsia"/>
          <w:sz w:val="24"/>
          <w:szCs w:val="24"/>
          <w:lang w:val="en-US" w:eastAsia="zh-CN"/>
        </w:rPr>
        <w:t>）。</w:t>
      </w:r>
    </w:p>
    <w:p>
      <w:pPr>
        <w:jc w:val="center"/>
      </w:pPr>
      <w:r>
        <w:drawing>
          <wp:inline distT="0" distB="0" distL="114300" distR="114300">
            <wp:extent cx="5269230" cy="2567305"/>
            <wp:effectExtent l="0" t="0" r="7620" b="4445"/>
            <wp:docPr id="3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6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jc w:val="center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  <w:t>密码登录_图1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根据需要选择不同的登录方式，点击登录后进入平台。</w:t>
      </w:r>
    </w:p>
    <w:p>
      <w:pPr>
        <w:pStyle w:val="2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bookmarkStart w:id="5" w:name="_Toc15700"/>
      <w:r>
        <w:rPr>
          <w:rFonts w:hint="eastAsia"/>
          <w:lang w:val="en-US" w:eastAsia="zh-CN"/>
        </w:rPr>
        <w:t>首页</w:t>
      </w:r>
      <w:bookmarkEnd w:id="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用户在首页可查看待办任务、我的日程，通知公告、常用文件等，</w:t>
      </w:r>
      <w:r>
        <w:rPr>
          <w:rFonts w:hint="eastAsia"/>
          <w:sz w:val="24"/>
          <w:szCs w:val="24"/>
          <w:lang w:val="en-US" w:eastAsia="zh-CN"/>
        </w:rPr>
        <w:t>如（首页_图1）。</w:t>
      </w:r>
    </w:p>
    <w:p>
      <w:pPr>
        <w:jc w:val="center"/>
      </w:pPr>
      <w:r>
        <w:drawing>
          <wp:inline distT="0" distB="0" distL="114300" distR="114300">
            <wp:extent cx="4671695" cy="2254885"/>
            <wp:effectExtent l="0" t="0" r="5080" b="2540"/>
            <wp:docPr id="64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1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71695" cy="225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/>
        </w:rPr>
        <w:t>首页_图1</w:t>
      </w:r>
    </w:p>
    <w:p>
      <w:pPr>
        <w:pStyle w:val="2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bookmarkStart w:id="6" w:name="_Toc25809"/>
      <w:r>
        <w:rPr>
          <w:rFonts w:hint="eastAsia"/>
          <w:lang w:val="en-US" w:eastAsia="zh-CN"/>
        </w:rPr>
        <w:t>客户端文件签章</w:t>
      </w:r>
      <w:bookmarkEnd w:id="6"/>
    </w:p>
    <w:p>
      <w:pPr>
        <w:pStyle w:val="3"/>
        <w:numPr>
          <w:ilvl w:val="2"/>
          <w:numId w:val="1"/>
        </w:numPr>
        <w:bidi w:val="0"/>
        <w:ind w:left="0" w:leftChars="0" w:firstLine="402" w:firstLineChars="0"/>
        <w:rPr>
          <w:rFonts w:hint="eastAsia"/>
          <w:lang w:val="en-US" w:eastAsia="zh-CN"/>
        </w:rPr>
      </w:pPr>
      <w:bookmarkStart w:id="7" w:name="_Toc27585"/>
      <w:r>
        <w:rPr>
          <w:rFonts w:hint="eastAsia"/>
          <w:lang w:val="en-US" w:eastAsia="zh-CN"/>
        </w:rPr>
        <w:t>PDF文件签章</w:t>
      </w:r>
      <w:bookmarkEnd w:id="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asciiTheme="minorEastAsia" w:hAnsi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用户通过门户（帮助中心-工具下载）下载投标文件客户端，打开客户端进入页面，如图：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59070" cy="3341370"/>
            <wp:effectExtent l="0" t="0" r="8255" b="190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eastAsia" w:asciiTheme="minorEastAsia" w:hAnsi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PDF文件签章图_1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asciiTheme="minorEastAsia" w:hAnsi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点击PDF文件签章，进入签章页面，如图：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172710" cy="3321685"/>
            <wp:effectExtent l="0" t="0" r="8890" b="254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72710" cy="332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eastAsia" w:asciiTheme="minorEastAsia" w:hAnsi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PDF文件签章图_2</w:t>
      </w:r>
    </w:p>
    <w:p>
      <w:pPr>
        <w:spacing w:line="360" w:lineRule="auto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点击打开文件按钮，可浏览本地PDF文件，选择需要盖章的文件进行上传；</w:t>
      </w:r>
    </w:p>
    <w:p>
      <w:pPr>
        <w:spacing w:line="360" w:lineRule="auto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点击单页签章，输入CA密码后，可在当前页或者拉右侧滚动条选择其他页进行签章；</w:t>
      </w:r>
    </w:p>
    <w:p>
      <w:pPr>
        <w:spacing w:line="360" w:lineRule="auto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点击多页签章，输入签章页码、密码后，在输入的页面内进行签章；</w:t>
      </w:r>
    </w:p>
    <w:p>
      <w:pPr>
        <w:spacing w:line="360" w:lineRule="auto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点击保存，保存签章信息；</w:t>
      </w:r>
    </w:p>
    <w:p>
      <w:pPr>
        <w:spacing w:line="360" w:lineRule="auto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点击文件另存为，签章后的文件保存至本地。签章效果图，如图：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</w:pPr>
      <w:r>
        <w:drawing>
          <wp:inline distT="0" distB="0" distL="114300" distR="114300">
            <wp:extent cx="5268595" cy="3399790"/>
            <wp:effectExtent l="0" t="0" r="8255" b="635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39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2299970"/>
            <wp:effectExtent l="0" t="0" r="3175" b="508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29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PDF文件签章图_3</w:t>
      </w:r>
    </w:p>
    <w:p>
      <w:pPr>
        <w:pStyle w:val="3"/>
        <w:numPr>
          <w:ilvl w:val="2"/>
          <w:numId w:val="1"/>
        </w:numPr>
        <w:bidi w:val="0"/>
        <w:ind w:left="0" w:leftChars="0" w:firstLine="402" w:firstLineChars="0"/>
        <w:rPr>
          <w:rFonts w:hint="default"/>
          <w:lang w:val="en-US" w:eastAsia="zh-CN"/>
        </w:rPr>
      </w:pPr>
      <w:bookmarkStart w:id="8" w:name="_Toc17064"/>
      <w:r>
        <w:rPr>
          <w:rFonts w:hint="eastAsia"/>
          <w:lang w:val="en-US" w:eastAsia="zh-CN"/>
        </w:rPr>
        <w:t>CA绑定</w:t>
      </w:r>
      <w:bookmarkEnd w:id="8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供应商登录后，在【系统管理-证书绑定】绑定CA，绑定CA后才可进行报价操作。如图：</w:t>
      </w:r>
    </w:p>
    <w:p>
      <w:r>
        <w:drawing>
          <wp:inline distT="0" distB="0" distL="114300" distR="114300">
            <wp:extent cx="5414645" cy="1166495"/>
            <wp:effectExtent l="0" t="0" r="5080" b="5080"/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14645" cy="116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CA绑定图_1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点击CA绑定，按照页面要求选择CA类型，输入CA密码后可绑定CA，；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仿宋" w:hAnsi="仿宋" w:cs="仿宋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绑定CA后可执行解除绑定操作。如图：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56530" cy="1077595"/>
            <wp:effectExtent l="0" t="0" r="1270" b="8255"/>
            <wp:docPr id="1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56530" cy="107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CA绑定图_2</w:t>
      </w:r>
    </w:p>
    <w:p>
      <w:pPr>
        <w:rPr>
          <w:rFonts w:hint="eastAsia" w:eastAsia="仿宋"/>
          <w:lang w:val="en-US" w:eastAsia="zh-CN"/>
        </w:rPr>
      </w:pPr>
    </w:p>
    <w:p>
      <w:pPr>
        <w:pStyle w:val="3"/>
        <w:numPr>
          <w:ilvl w:val="2"/>
          <w:numId w:val="1"/>
        </w:numPr>
        <w:bidi w:val="0"/>
        <w:ind w:left="0" w:leftChars="0" w:firstLine="402" w:firstLineChars="0"/>
        <w:rPr>
          <w:rFonts w:hint="default"/>
          <w:lang w:val="en-US" w:eastAsia="zh-CN"/>
        </w:rPr>
      </w:pPr>
      <w:bookmarkStart w:id="9" w:name="_Toc3837"/>
      <w:r>
        <w:rPr>
          <w:rFonts w:hint="eastAsia"/>
          <w:lang w:val="en-US" w:eastAsia="zh-CN"/>
        </w:rPr>
        <w:t>供应商报价</w:t>
      </w:r>
      <w:bookmarkEnd w:id="9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供应商参与项目后，在项目工作台进行报价，如图：</w:t>
      </w:r>
    </w:p>
    <w:p>
      <w:r>
        <w:drawing>
          <wp:inline distT="0" distB="0" distL="114300" distR="114300">
            <wp:extent cx="5250180" cy="1919605"/>
            <wp:effectExtent l="0" t="0" r="7620" b="4445"/>
            <wp:docPr id="1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50180" cy="191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975" cy="1125220"/>
            <wp:effectExtent l="0" t="0" r="6350" b="8255"/>
            <wp:docPr id="1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112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供应商报价图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_1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仿宋" w:hAnsi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cs="仿宋"/>
          <w:sz w:val="24"/>
          <w:szCs w:val="24"/>
          <w:lang w:val="en-US" w:eastAsia="zh-CN"/>
        </w:rPr>
        <w:t>供应商根据项目经理设置的物资编码填写对应的“供货品牌、供货型号、供货CPU、供货内存、供货机械硬盘等”，</w:t>
      </w:r>
      <w:r>
        <w:rPr>
          <w:rFonts w:hint="eastAsia" w:ascii="仿宋" w:hAnsi="仿宋" w:cs="仿宋"/>
          <w:b/>
          <w:bCs/>
          <w:sz w:val="24"/>
          <w:szCs w:val="24"/>
          <w:lang w:val="en-US" w:eastAsia="zh-CN"/>
        </w:rPr>
        <w:t>若选择其他，需在备注内进行说明。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 w:ascii="仿宋" w:hAnsi="仿宋" w:cs="仿宋"/>
          <w:b w:val="0"/>
          <w:bCs w:val="0"/>
          <w:sz w:val="24"/>
          <w:szCs w:val="24"/>
          <w:lang w:val="en-US" w:eastAsia="zh-CN"/>
        </w:rPr>
        <w:t>上传对应的PDF文件，</w:t>
      </w:r>
      <w:r>
        <w:rPr>
          <w:rFonts w:hint="eastAsia" w:ascii="仿宋" w:hAnsi="仿宋" w:cs="仿宋"/>
          <w:b/>
          <w:bCs/>
          <w:sz w:val="24"/>
          <w:szCs w:val="24"/>
          <w:lang w:val="en-US" w:eastAsia="zh-CN"/>
        </w:rPr>
        <w:t>提交报价前需要绑定CA。</w:t>
      </w:r>
    </w:p>
    <w:sectPr>
      <w:footerReference r:id="rId5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rPr>
        <w:rFonts w:hint="default" w:eastAsia="黑体"/>
        <w:u w:val="single"/>
        <w:lang w:val="en-US" w:eastAsia="zh-CN"/>
      </w:rPr>
    </w:pPr>
    <w:r>
      <w:rPr>
        <w:rFonts w:hint="eastAsia"/>
        <w:u w:val="single"/>
        <w:lang w:val="en-US" w:eastAsia="zh-CN"/>
      </w:rPr>
      <w:t xml:space="preserve">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B8994D"/>
    <w:multiLevelType w:val="multilevel"/>
    <w:tmpl w:val="8FB8994D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abstractNum w:abstractNumId="1">
    <w:nsid w:val="4D21710A"/>
    <w:multiLevelType w:val="multilevel"/>
    <w:tmpl w:val="4D21710A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UwOWY1OThjOTBmY2I1M2U5OGEyOWE4OWU3MTI0MDIifQ=="/>
  </w:docVars>
  <w:rsids>
    <w:rsidRoot w:val="00000000"/>
    <w:rsid w:val="02924A42"/>
    <w:rsid w:val="02A429BD"/>
    <w:rsid w:val="02EA7E22"/>
    <w:rsid w:val="039871ED"/>
    <w:rsid w:val="052838F5"/>
    <w:rsid w:val="06534FD1"/>
    <w:rsid w:val="06CA03B1"/>
    <w:rsid w:val="080E41AF"/>
    <w:rsid w:val="09653637"/>
    <w:rsid w:val="0AD171DB"/>
    <w:rsid w:val="0B262031"/>
    <w:rsid w:val="0C6C0502"/>
    <w:rsid w:val="0DE325EB"/>
    <w:rsid w:val="10C90025"/>
    <w:rsid w:val="110E4174"/>
    <w:rsid w:val="126F08F1"/>
    <w:rsid w:val="12A96A1F"/>
    <w:rsid w:val="165B2E3B"/>
    <w:rsid w:val="17A441E2"/>
    <w:rsid w:val="184C2409"/>
    <w:rsid w:val="187E3BEA"/>
    <w:rsid w:val="18AB34CA"/>
    <w:rsid w:val="19B2029A"/>
    <w:rsid w:val="1AD556E9"/>
    <w:rsid w:val="1ADE1BE9"/>
    <w:rsid w:val="1B2E0721"/>
    <w:rsid w:val="1BE04E45"/>
    <w:rsid w:val="1D6C171F"/>
    <w:rsid w:val="1DCD00C6"/>
    <w:rsid w:val="1DFB572F"/>
    <w:rsid w:val="1E7C1627"/>
    <w:rsid w:val="2238791D"/>
    <w:rsid w:val="227E139E"/>
    <w:rsid w:val="24EE1B49"/>
    <w:rsid w:val="285F4B0C"/>
    <w:rsid w:val="2B774C09"/>
    <w:rsid w:val="2CE75243"/>
    <w:rsid w:val="2CF16C6C"/>
    <w:rsid w:val="2D281971"/>
    <w:rsid w:val="2DEF06E0"/>
    <w:rsid w:val="31601AE1"/>
    <w:rsid w:val="317364D1"/>
    <w:rsid w:val="323963CE"/>
    <w:rsid w:val="33125209"/>
    <w:rsid w:val="339977DD"/>
    <w:rsid w:val="33F86541"/>
    <w:rsid w:val="357065D7"/>
    <w:rsid w:val="361B02C4"/>
    <w:rsid w:val="3689507B"/>
    <w:rsid w:val="37377F76"/>
    <w:rsid w:val="3871309C"/>
    <w:rsid w:val="388F2DAC"/>
    <w:rsid w:val="396E515E"/>
    <w:rsid w:val="39D87EA8"/>
    <w:rsid w:val="3F973B34"/>
    <w:rsid w:val="42DA3D4E"/>
    <w:rsid w:val="42F61A03"/>
    <w:rsid w:val="43455505"/>
    <w:rsid w:val="43A34E61"/>
    <w:rsid w:val="445D1E68"/>
    <w:rsid w:val="44E85546"/>
    <w:rsid w:val="46C2478C"/>
    <w:rsid w:val="476B6BD2"/>
    <w:rsid w:val="4900334A"/>
    <w:rsid w:val="49F50D2B"/>
    <w:rsid w:val="4A234023"/>
    <w:rsid w:val="4A6427D1"/>
    <w:rsid w:val="4D640208"/>
    <w:rsid w:val="4DAE2F4C"/>
    <w:rsid w:val="4E646CF7"/>
    <w:rsid w:val="4F721432"/>
    <w:rsid w:val="50097D5B"/>
    <w:rsid w:val="50847A72"/>
    <w:rsid w:val="50A07BC8"/>
    <w:rsid w:val="50AF5049"/>
    <w:rsid w:val="53830C1D"/>
    <w:rsid w:val="54CC73C2"/>
    <w:rsid w:val="557773FB"/>
    <w:rsid w:val="56260CB7"/>
    <w:rsid w:val="567C4958"/>
    <w:rsid w:val="56AF2930"/>
    <w:rsid w:val="57805D82"/>
    <w:rsid w:val="593D5A54"/>
    <w:rsid w:val="59F4763A"/>
    <w:rsid w:val="5AEE394A"/>
    <w:rsid w:val="5BEE5874"/>
    <w:rsid w:val="5D8B01B4"/>
    <w:rsid w:val="5E082FF5"/>
    <w:rsid w:val="5E3C52C0"/>
    <w:rsid w:val="5E617BC4"/>
    <w:rsid w:val="5E8A51B3"/>
    <w:rsid w:val="5F685EE8"/>
    <w:rsid w:val="61F626E1"/>
    <w:rsid w:val="61FD3ED8"/>
    <w:rsid w:val="63C94F54"/>
    <w:rsid w:val="64822322"/>
    <w:rsid w:val="67987117"/>
    <w:rsid w:val="67A21667"/>
    <w:rsid w:val="68FD72DA"/>
    <w:rsid w:val="69BB4B07"/>
    <w:rsid w:val="6A861CF3"/>
    <w:rsid w:val="6A886960"/>
    <w:rsid w:val="6ADB7A47"/>
    <w:rsid w:val="6B252A70"/>
    <w:rsid w:val="6C2E533A"/>
    <w:rsid w:val="6C57134F"/>
    <w:rsid w:val="6E2F772D"/>
    <w:rsid w:val="6EC30F1E"/>
    <w:rsid w:val="6EF20050"/>
    <w:rsid w:val="6F20559F"/>
    <w:rsid w:val="6F504D9E"/>
    <w:rsid w:val="71995F66"/>
    <w:rsid w:val="73E64D74"/>
    <w:rsid w:val="73F233AE"/>
    <w:rsid w:val="77074FC4"/>
    <w:rsid w:val="77321D48"/>
    <w:rsid w:val="779632D9"/>
    <w:rsid w:val="77E47E66"/>
    <w:rsid w:val="78566129"/>
    <w:rsid w:val="7AE71CCE"/>
    <w:rsid w:val="7C1E3C37"/>
    <w:rsid w:val="7C9937C9"/>
    <w:rsid w:val="7E1F77F3"/>
    <w:rsid w:val="7FD30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" w:asciiTheme="minorAscii" w:hAnsiTheme="minorAscii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eastAsia="黑体" w:asciiTheme="minorAscii" w:hAnsiTheme="minorAscii"/>
      <w:b/>
      <w:kern w:val="44"/>
      <w:sz w:val="32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0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30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qFormat/>
    <w:uiPriority w:val="0"/>
    <w:pPr>
      <w:ind w:left="840" w:leftChars="4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toc 1"/>
    <w:basedOn w:val="1"/>
    <w:next w:val="1"/>
    <w:qFormat/>
    <w:uiPriority w:val="0"/>
  </w:style>
  <w:style w:type="paragraph" w:styleId="9">
    <w:name w:val="toc 2"/>
    <w:basedOn w:val="1"/>
    <w:next w:val="1"/>
    <w:qFormat/>
    <w:uiPriority w:val="0"/>
    <w:pPr>
      <w:ind w:left="420" w:leftChars="200"/>
    </w:pPr>
  </w:style>
  <w:style w:type="character" w:styleId="12">
    <w:name w:val="FollowedHyperlink"/>
    <w:basedOn w:val="11"/>
    <w:qFormat/>
    <w:uiPriority w:val="0"/>
    <w:rPr>
      <w:color w:val="800080"/>
      <w:u w:val="single"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  <w:style w:type="paragraph" w:customStyle="1" w:styleId="14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826</Words>
  <Characters>943</Characters>
  <Lines>0</Lines>
  <Paragraphs>0</Paragraphs>
  <TotalTime>440</TotalTime>
  <ScaleCrop>false</ScaleCrop>
  <LinksUpToDate>false</LinksUpToDate>
  <CharactersWithSpaces>978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2023-10-19T11:15:00Z</dcterms:created>
  <dc:creator>wangw</dc:creator>
  <cp:lastModifiedBy>许海玲</cp:lastModifiedBy>
  <dcterms:modified xsi:type="dcterms:W3CDTF">2026-04-20T09:05:46Z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91C66F49B34E427484F76F8612569C0A_13</vt:lpwstr>
  </property>
  <property fmtid="{D5CDD505-2E9C-101B-9397-08002B2CF9AE}" pid="4" name="KSOTemplateDocerSaveRecord">
    <vt:lpwstr>eyJoZGlkIjoiMzAxODU1ZmE4MjJiMWZmNmZkNzU5ZWJjY2NmNTgzYzYiLCJ1c2VySWQiOiIxMjAzNTcyNTg1In0=</vt:lpwstr>
  </property>
</Properties>
</file>